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192"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2"/>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exact"/>
          <w:jc w:val="center"/>
        </w:trPr>
        <w:tc>
          <w:tcPr>
            <w:tcW w:w="9192" w:type="dxa"/>
            <w:vAlign w:val="center"/>
          </w:tcPr>
          <w:p>
            <w:pPr>
              <w:pStyle w:val="3"/>
              <w:autoSpaceDE w:val="0"/>
              <w:autoSpaceDN w:val="0"/>
              <w:snapToGrid w:val="0"/>
              <w:ind w:left="506" w:leftChars="241" w:right="-8" w:rightChars="-4"/>
              <w:rPr>
                <w:rFonts w:ascii="Times New Roman" w:hAnsi="Times New Roman" w:eastAsia="方正小标宋简体" w:cs="Times New Roman"/>
                <w:b/>
                <w:color w:val="FF0000"/>
                <w:spacing w:val="130"/>
                <w:w w:val="75"/>
                <w:kern w:val="72"/>
                <w:sz w:val="72"/>
                <w:szCs w:val="22"/>
              </w:rPr>
            </w:pPr>
            <w:bookmarkStart w:id="0" w:name="_Toc509125052"/>
            <w:r>
              <w:rPr>
                <w:rFonts w:hint="eastAsia" w:ascii="方正小标宋简体" w:eastAsia="方正小标宋简体"/>
                <w:b/>
                <w:color w:val="FF0000"/>
                <w:spacing w:val="130"/>
                <w:w w:val="90"/>
                <w:kern w:val="72"/>
                <w:sz w:val="72"/>
              </w:rPr>
              <w:t>东 莞 市</w:t>
            </w:r>
            <w:bookmarkEnd w:id="0"/>
            <w:r>
              <w:rPr>
                <w:rFonts w:hint="eastAsia" w:ascii="方正小标宋简体" w:eastAsia="方正小标宋简体"/>
                <w:b/>
                <w:color w:val="FF0000"/>
                <w:spacing w:val="130"/>
                <w:w w:val="90"/>
                <w:kern w:val="72"/>
                <w:sz w:val="72"/>
              </w:rPr>
              <w:t xml:space="preserve"> 商 务 局</w:t>
            </w:r>
          </w:p>
        </w:tc>
      </w:tr>
    </w:tbl>
    <w:p>
      <w:pPr>
        <w:spacing w:line="600" w:lineRule="exact"/>
        <w:jc w:val="center"/>
        <w:rPr>
          <w:rFonts w:ascii="Times New Roman" w:hAnsi="Times New Roman" w:eastAsia="方正小标宋简体" w:cs="Times New Roman"/>
          <w:sz w:val="44"/>
          <w:szCs w:val="44"/>
        </w:rPr>
      </w:pPr>
      <w:bookmarkStart w:id="1" w:name="_GoBack"/>
      <w:bookmarkEnd w:id="1"/>
    </w:p>
    <w:p>
      <w:pPr>
        <w:keepNext w:val="0"/>
        <w:keepLines w:val="0"/>
        <w:widowControl/>
        <w:suppressLineNumbers w:val="0"/>
        <w:jc w:val="both"/>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附件 1 </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方正小标宋简体" w:hAnsi="方正小标宋简体" w:eastAsia="方正小标宋简体" w:cs="方正小标宋简体"/>
          <w:b w:val="0"/>
          <w:i w:val="0"/>
          <w:caps w:val="0"/>
          <w:color w:val="2E2E2E"/>
          <w:spacing w:val="0"/>
          <w:sz w:val="40"/>
          <w:szCs w:val="40"/>
          <w:shd w:val="clear" w:color="auto" w:fill="FFFFFF"/>
          <w:lang w:val="en-US" w:eastAsia="zh-CN"/>
        </w:rPr>
      </w:pPr>
      <w:r>
        <w:rPr>
          <w:rFonts w:hint="eastAsia" w:ascii="方正小标宋简体" w:hAnsi="方正小标宋简体" w:eastAsia="方正小标宋简体" w:cs="方正小标宋简体"/>
          <w:b w:val="0"/>
          <w:i w:val="0"/>
          <w:caps w:val="0"/>
          <w:color w:val="2E2E2E"/>
          <w:spacing w:val="0"/>
          <w:sz w:val="40"/>
          <w:szCs w:val="40"/>
          <w:shd w:val="clear" w:color="auto" w:fill="FFFFFF"/>
          <w:lang w:val="en-US" w:eastAsia="zh-CN"/>
        </w:rPr>
        <w:t>中国进出口商品交易会出口展品牌展位</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pPr>
      <w:r>
        <w:rPr>
          <w:rFonts w:hint="eastAsia" w:ascii="方正小标宋简体" w:hAnsi="方正小标宋简体" w:eastAsia="方正小标宋简体" w:cs="方正小标宋简体"/>
          <w:b w:val="0"/>
          <w:i w:val="0"/>
          <w:caps w:val="0"/>
          <w:color w:val="2E2E2E"/>
          <w:spacing w:val="0"/>
          <w:sz w:val="40"/>
          <w:szCs w:val="40"/>
          <w:shd w:val="clear" w:color="auto" w:fill="FFFFFF"/>
          <w:lang w:val="en-US" w:eastAsia="zh-CN"/>
        </w:rPr>
        <w:t>数量安排办法实施细则（部分）</w:t>
      </w:r>
    </w:p>
    <w:p>
      <w:pPr>
        <w:keepNext w:val="0"/>
        <w:keepLines w:val="0"/>
        <w:widowControl/>
        <w:suppressLineNumbers w:val="0"/>
        <w:jc w:val="center"/>
        <w:rPr>
          <w:rFonts w:hint="eastAsia" w:ascii="楷体_GB2312" w:hAnsi="宋体" w:eastAsia="楷体_GB2312" w:cs="楷体_GB2312"/>
          <w:color w:val="000000"/>
          <w:kern w:val="0"/>
          <w:sz w:val="28"/>
          <w:szCs w:val="28"/>
          <w:lang w:val="en-US" w:eastAsia="zh-CN" w:bidi="ar"/>
        </w:rPr>
      </w:pPr>
      <w:r>
        <w:rPr>
          <w:rFonts w:ascii="楷体_GB2312" w:hAnsi="宋体" w:eastAsia="楷体_GB2312" w:cs="楷体_GB2312"/>
          <w:color w:val="000000"/>
          <w:kern w:val="0"/>
          <w:sz w:val="28"/>
          <w:szCs w:val="28"/>
          <w:lang w:val="en-US" w:eastAsia="zh-CN" w:bidi="ar"/>
        </w:rPr>
        <w:t>（</w:t>
      </w:r>
      <w:r>
        <w:rPr>
          <w:rFonts w:ascii="TimesNewRomanPSMT" w:hAnsi="TimesNewRomanPSMT" w:eastAsia="TimesNewRomanPSMT" w:cs="TimesNewRomanPSMT"/>
          <w:color w:val="000000"/>
          <w:kern w:val="0"/>
          <w:sz w:val="28"/>
          <w:szCs w:val="28"/>
          <w:lang w:val="en-US" w:eastAsia="zh-CN" w:bidi="ar"/>
        </w:rPr>
        <w:t>2023</w:t>
      </w:r>
      <w:r>
        <w:rPr>
          <w:rFonts w:hint="eastAsia" w:ascii="楷体_GB2312" w:hAnsi="宋体" w:eastAsia="楷体_GB2312" w:cs="楷体_GB2312"/>
          <w:color w:val="000000"/>
          <w:kern w:val="0"/>
          <w:sz w:val="28"/>
          <w:szCs w:val="28"/>
          <w:lang w:val="en-US" w:eastAsia="zh-CN" w:bidi="ar"/>
        </w:rPr>
        <w:t>年修订）</w:t>
      </w:r>
    </w:p>
    <w:p>
      <w:pPr>
        <w:pStyle w:val="2"/>
        <w:jc w:val="both"/>
      </w:pPr>
    </w:p>
    <w:p>
      <w:pPr>
        <w:keepNext w:val="0"/>
        <w:keepLines w:val="0"/>
        <w:widowControl/>
        <w:suppressLineNumbers w:val="0"/>
        <w:ind w:firstLine="640" w:firstLineChars="200"/>
        <w:jc w:val="both"/>
      </w:pPr>
      <w:r>
        <w:rPr>
          <w:rFonts w:hint="eastAsia" w:ascii="黑体" w:hAnsi="宋体" w:eastAsia="黑体" w:cs="黑体"/>
          <w:color w:val="000000"/>
          <w:kern w:val="0"/>
          <w:sz w:val="32"/>
          <w:szCs w:val="32"/>
          <w:lang w:val="en-US" w:eastAsia="zh-CN" w:bidi="ar"/>
        </w:rPr>
        <w:t>一、品牌展位使用条件（</w:t>
      </w:r>
      <w:r>
        <w:rPr>
          <w:rFonts w:hint="eastAsia" w:ascii="楷体_GB2312" w:hAnsi="宋体" w:eastAsia="楷体_GB2312" w:cs="楷体_GB2312"/>
          <w:b/>
          <w:bCs/>
          <w:color w:val="000000"/>
          <w:kern w:val="0"/>
          <w:sz w:val="32"/>
          <w:szCs w:val="32"/>
          <w:lang w:val="en-US" w:eastAsia="zh-CN" w:bidi="ar"/>
        </w:rPr>
        <w:t>参展企业条件</w:t>
      </w:r>
      <w:r>
        <w:rPr>
          <w:rFonts w:hint="eastAsia" w:ascii="黑体" w:hAnsi="宋体" w:eastAsia="黑体" w:cs="黑体"/>
          <w:color w:val="000000"/>
          <w:kern w:val="0"/>
          <w:sz w:val="32"/>
          <w:szCs w:val="32"/>
          <w:lang w:val="en-US" w:eastAsia="zh-CN" w:bidi="ar"/>
        </w:rPr>
        <w:t>）</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1</w:t>
      </w:r>
      <w:r>
        <w:rPr>
          <w:rFonts w:hint="eastAsia" w:ascii="TimesNewRomanPSMT" w:hAnsi="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企业须依法取得法人营业执照，并获得海关备案编码。</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、企业应出口与所申请展区对应的商品，且过去两年， 该企业相关商品平均出口额不低于该展区品牌展位申请企业最低出口额标准。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 xml:space="preserve">、企业应持有所有人为中方法人或自然人的有效境外注册商标。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 xml:space="preserve">、企业近三年来无违法、严重违规行为，未受过行政处罚，未发生重大质量或安全责任事故，没有经查证属实的重大质量投诉或索赔。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 xml:space="preserve">、企业应积极配合商务部开展的调研等相关工作。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 xml:space="preserve">、符合上述条件，但属于下列情况之一的企业禁止申请和使用品牌展位：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国家商务、环保、卫生、人力资源和社会保障、海关、税务、市场监管（知识产权）、外汇、安监、药监等部门通报、公告或处罚的违法违规企业，且在通报、公告或处罚期限内的；无明确期限的，按通报、公告或处罚之日起连续六届禁止参展。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）自上次品牌评审以来被司法机关或知识产权行政管理机关认定侵权的。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 xml:space="preserve">）因违规转让或转租（卖）广交会展位，涉及贸易纠纷投诉，涉嫌侵犯知识产权，或违反广交会其他规定，被广交会取消参展资格并处于处罚期限内的。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 xml:space="preserve">）因参展表现恶劣、拒不服从广交会管理、破坏展览秩序，或违反其他广交会相关规定，对广交会声誉或正常运营造成较大不良影响，被广交会处罚并处于处罚期限内的。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）伪造品牌展位申请材料</w:t>
      </w:r>
      <w:r>
        <w:rPr>
          <w:rFonts w:ascii="仿宋" w:hAnsi="仿宋" w:eastAsia="仿宋" w:cs="仿宋"/>
          <w:color w:val="000000"/>
          <w:kern w:val="0"/>
          <w:sz w:val="32"/>
          <w:szCs w:val="32"/>
          <w:lang w:val="en-US" w:eastAsia="zh-CN" w:bidi="ar"/>
        </w:rPr>
        <w:t>的，在下次品牌展位全面</w:t>
      </w:r>
      <w:r>
        <w:rPr>
          <w:rFonts w:hint="eastAsia" w:ascii="仿宋" w:hAnsi="仿宋" w:eastAsia="仿宋" w:cs="仿宋"/>
          <w:color w:val="000000"/>
          <w:kern w:val="0"/>
          <w:sz w:val="32"/>
          <w:szCs w:val="32"/>
          <w:lang w:val="en-US" w:eastAsia="zh-CN" w:bidi="ar"/>
        </w:rPr>
        <w:t xml:space="preserve">评审前，禁止申请和使用品牌展位。 </w:t>
      </w:r>
    </w:p>
    <w:p>
      <w:pPr>
        <w:keepNext w:val="0"/>
        <w:keepLines w:val="0"/>
        <w:widowControl/>
        <w:suppressLineNumbers w:val="0"/>
        <w:ind w:firstLine="640" w:firstLineChars="200"/>
        <w:jc w:val="both"/>
        <w:rPr>
          <w:rFonts w:hint="eastAsia" w:ascii="黑体" w:hAnsi="黑体" w:eastAsia="黑体" w:cs="黑体"/>
          <w:sz w:val="32"/>
          <w:szCs w:val="32"/>
          <w:lang w:eastAsia="zh-CN"/>
        </w:rPr>
      </w:pPr>
      <w:r>
        <w:rPr>
          <w:rFonts w:hint="eastAsia" w:ascii="黑体" w:hAnsi="黑体" w:eastAsia="黑体" w:cs="黑体"/>
          <w:color w:val="auto"/>
          <w:sz w:val="32"/>
          <w:szCs w:val="32"/>
        </w:rPr>
        <w:pict>
          <v:shape id="_x0000_s1036" o:spid="_x0000_s1036" o:spt="75" type="#_x0000_t75" style="position:absolute;left:0pt;margin-left:-10.3pt;margin-top:-888.95pt;height:841.3pt;width:595.45pt;mso-position-horizontal-relative:page;mso-position-vertical-relative:page;z-index:-251657216;mso-width-relative:page;mso-height-relative:page;" filled="f" o:preferrelative="t" stroked="f" coordsize="21600,21600" o:allowincell="f">
            <v:path/>
            <v:fill on="f" focussize="0,0"/>
            <v:stroke on="f"/>
            <v:imagedata r:id="rId5" chromakey="#FFFFFF" o:title=""/>
            <o:lock v:ext="edit" aspectratio="t"/>
          </v:shape>
        </w:pict>
      </w:r>
      <w:r>
        <w:rPr>
          <w:rFonts w:hint="eastAsia" w:ascii="黑体" w:hAnsi="黑体" w:eastAsia="黑体" w:cs="黑体"/>
          <w:sz w:val="32"/>
          <w:szCs w:val="32"/>
          <w:lang w:eastAsia="zh-CN"/>
        </w:rPr>
        <w:t>二、评审标准</w:t>
      </w:r>
    </w:p>
    <w:p>
      <w:pPr>
        <w:keepNext w:val="0"/>
        <w:keepLines w:val="0"/>
        <w:widowControl/>
        <w:suppressLineNumbers w:val="0"/>
        <w:ind w:firstLine="640" w:firstLineChars="200"/>
        <w:jc w:val="both"/>
      </w:pPr>
      <w:r>
        <w:rPr>
          <w:rFonts w:hint="eastAsia" w:ascii="楷体_GB2312" w:hAnsi="楷体_GB2312" w:eastAsia="楷体_GB2312" w:cs="楷体_GB2312"/>
          <w:color w:val="000000"/>
          <w:kern w:val="0"/>
          <w:sz w:val="32"/>
          <w:szCs w:val="32"/>
          <w:lang w:val="en-US" w:eastAsia="zh-CN" w:bidi="ar"/>
        </w:rPr>
        <w:t>（一）出口额（35分）</w:t>
      </w:r>
      <w:r>
        <w:rPr>
          <w:rFonts w:hint="eastAsia" w:ascii="黑体" w:hAnsi="宋体" w:eastAsia="黑体" w:cs="黑体"/>
          <w:color w:val="000000"/>
          <w:kern w:val="0"/>
          <w:sz w:val="32"/>
          <w:szCs w:val="32"/>
          <w:lang w:val="en-US" w:eastAsia="zh-CN" w:bidi="ar"/>
        </w:rPr>
        <w:t xml:space="preserve"> </w:t>
      </w:r>
    </w:p>
    <w:p>
      <w:pPr>
        <w:keepNext w:val="0"/>
        <w:keepLines w:val="0"/>
        <w:widowControl/>
        <w:suppressLineNumbers w:val="0"/>
        <w:ind w:firstLine="640" w:firstLineChars="200"/>
        <w:jc w:val="both"/>
      </w:pPr>
      <w:r>
        <w:rPr>
          <w:rFonts w:ascii="仿宋_GB2312" w:hAnsi="宋体" w:eastAsia="仿宋_GB2312" w:cs="仿宋_GB2312"/>
          <w:color w:val="000000"/>
          <w:kern w:val="0"/>
          <w:sz w:val="32"/>
          <w:szCs w:val="32"/>
          <w:lang w:val="en-US" w:eastAsia="zh-CN" w:bidi="ar"/>
        </w:rPr>
        <w:t>出口展品牌展位按不同类别展区分别设立</w:t>
      </w:r>
      <w:r>
        <w:rPr>
          <w:rFonts w:hint="default" w:ascii="TimesNewRomanPSMT" w:hAnsi="TimesNewRomanPSMT" w:eastAsia="TimesNewRomanPSMT" w:cs="TimesNewRomanPSMT"/>
          <w:color w:val="000000"/>
          <w:kern w:val="0"/>
          <w:sz w:val="32"/>
          <w:szCs w:val="32"/>
          <w:lang w:val="en-US" w:eastAsia="zh-CN" w:bidi="ar"/>
        </w:rPr>
        <w:t>700</w:t>
      </w:r>
      <w:r>
        <w:rPr>
          <w:rFonts w:hint="eastAsia" w:ascii="仿宋_GB2312" w:hAnsi="宋体" w:eastAsia="仿宋_GB2312" w:cs="仿宋_GB2312"/>
          <w:color w:val="000000"/>
          <w:kern w:val="0"/>
          <w:sz w:val="32"/>
          <w:szCs w:val="32"/>
          <w:lang w:val="en-US" w:eastAsia="zh-CN" w:bidi="ar"/>
        </w:rPr>
        <w:t>万、</w:t>
      </w:r>
      <w:r>
        <w:rPr>
          <w:rFonts w:hint="default" w:ascii="TimesNewRomanPSMT" w:hAnsi="TimesNewRomanPSMT" w:eastAsia="TimesNewRomanPSMT" w:cs="TimesNewRomanPSMT"/>
          <w:color w:val="000000"/>
          <w:kern w:val="0"/>
          <w:sz w:val="32"/>
          <w:szCs w:val="32"/>
          <w:lang w:val="en-US" w:eastAsia="zh-CN" w:bidi="ar"/>
        </w:rPr>
        <w:t>500</w:t>
      </w:r>
      <w:r>
        <w:rPr>
          <w:rFonts w:hint="eastAsia" w:ascii="仿宋_GB2312" w:hAnsi="宋体" w:eastAsia="仿宋_GB2312" w:cs="仿宋_GB2312"/>
          <w:color w:val="000000"/>
          <w:kern w:val="0"/>
          <w:sz w:val="32"/>
          <w:szCs w:val="32"/>
          <w:lang w:val="en-US" w:eastAsia="zh-CN" w:bidi="ar"/>
        </w:rPr>
        <w:t>万、</w:t>
      </w:r>
      <w:r>
        <w:rPr>
          <w:rFonts w:hint="default" w:ascii="TimesNewRomanPSMT" w:hAnsi="TimesNewRomanPSMT" w:eastAsia="TimesNewRomanPSMT" w:cs="TimesNewRomanPSMT"/>
          <w:color w:val="000000"/>
          <w:kern w:val="0"/>
          <w:sz w:val="32"/>
          <w:szCs w:val="32"/>
          <w:lang w:val="en-US" w:eastAsia="zh-CN" w:bidi="ar"/>
        </w:rPr>
        <w:t>400</w:t>
      </w:r>
      <w:r>
        <w:rPr>
          <w:rFonts w:hint="eastAsia" w:ascii="仿宋_GB2312" w:hAnsi="宋体" w:eastAsia="仿宋_GB2312" w:cs="仿宋_GB2312"/>
          <w:color w:val="000000"/>
          <w:kern w:val="0"/>
          <w:sz w:val="32"/>
          <w:szCs w:val="32"/>
          <w:lang w:val="en-US" w:eastAsia="zh-CN" w:bidi="ar"/>
        </w:rPr>
        <w:t>万和</w:t>
      </w:r>
      <w:r>
        <w:rPr>
          <w:rFonts w:hint="default" w:ascii="TimesNewRomanPSMT" w:hAnsi="TimesNewRomanPSMT" w:eastAsia="TimesNewRomanPSMT" w:cs="TimesNewRomanPSMT"/>
          <w:color w:val="000000"/>
          <w:kern w:val="0"/>
          <w:sz w:val="32"/>
          <w:szCs w:val="32"/>
          <w:lang w:val="en-US" w:eastAsia="zh-CN" w:bidi="ar"/>
        </w:rPr>
        <w:t>300</w:t>
      </w:r>
      <w:r>
        <w:rPr>
          <w:rFonts w:hint="eastAsia" w:ascii="仿宋_GB2312" w:hAnsi="宋体" w:eastAsia="仿宋_GB2312" w:cs="仿宋_GB2312"/>
          <w:color w:val="000000"/>
          <w:kern w:val="0"/>
          <w:sz w:val="32"/>
          <w:szCs w:val="32"/>
          <w:lang w:val="en-US" w:eastAsia="zh-CN" w:bidi="ar"/>
        </w:rPr>
        <w:t xml:space="preserve">万美元四个等级的最低出口额标准。品牌展位 申请企业在过去两年的平均出口额达到所申请展区最低出口额的得 </w:t>
      </w:r>
      <w:r>
        <w:rPr>
          <w:rFonts w:hint="default" w:ascii="TimesNewRomanPSMT" w:hAnsi="TimesNewRomanPSMT" w:eastAsia="TimesNewRomanPSMT" w:cs="TimesNewRomanPSMT"/>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 xml:space="preserve">分，每超过 </w:t>
      </w:r>
      <w:r>
        <w:rPr>
          <w:rFonts w:hint="default" w:ascii="TimesNewRomanPSMT" w:hAnsi="TimesNewRomanPSMT" w:eastAsia="TimesNewRomanPSMT" w:cs="TimesNewRomanPSMT"/>
          <w:color w:val="000000"/>
          <w:kern w:val="0"/>
          <w:sz w:val="32"/>
          <w:szCs w:val="32"/>
          <w:lang w:val="en-US" w:eastAsia="zh-CN" w:bidi="ar"/>
        </w:rPr>
        <w:t xml:space="preserve">100 </w:t>
      </w:r>
      <w:r>
        <w:rPr>
          <w:rFonts w:hint="eastAsia" w:ascii="仿宋_GB2312" w:hAnsi="宋体" w:eastAsia="仿宋_GB2312" w:cs="仿宋_GB2312"/>
          <w:color w:val="000000"/>
          <w:kern w:val="0"/>
          <w:sz w:val="32"/>
          <w:szCs w:val="32"/>
          <w:lang w:val="en-US" w:eastAsia="zh-CN" w:bidi="ar"/>
        </w:rPr>
        <w:t xml:space="preserve">万美元或 </w:t>
      </w:r>
      <w:r>
        <w:rPr>
          <w:rFonts w:hint="default" w:ascii="TimesNewRomanPSMT" w:hAnsi="TimesNewRomanPSMT" w:eastAsia="TimesNewRomanPSMT" w:cs="TimesNewRomanPSMT"/>
          <w:color w:val="000000"/>
          <w:kern w:val="0"/>
          <w:sz w:val="32"/>
          <w:szCs w:val="32"/>
          <w:lang w:val="en-US" w:eastAsia="zh-CN" w:bidi="ar"/>
        </w:rPr>
        <w:t xml:space="preserve">150 </w:t>
      </w:r>
      <w:r>
        <w:rPr>
          <w:rFonts w:hint="eastAsia" w:ascii="仿宋_GB2312" w:hAnsi="宋体" w:eastAsia="仿宋_GB2312" w:cs="仿宋_GB2312"/>
          <w:color w:val="000000"/>
          <w:kern w:val="0"/>
          <w:sz w:val="32"/>
          <w:szCs w:val="32"/>
          <w:lang w:val="en-US" w:eastAsia="zh-CN" w:bidi="ar"/>
        </w:rPr>
        <w:t xml:space="preserve">万美元的加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分，累计不超过 </w:t>
      </w:r>
      <w:r>
        <w:rPr>
          <w:rFonts w:hint="default" w:ascii="TimesNewRomanPSMT" w:hAnsi="TimesNewRomanPSMT" w:eastAsia="TimesNewRomanPSMT" w:cs="TimesNewRomanPSMT"/>
          <w:color w:val="000000"/>
          <w:kern w:val="0"/>
          <w:sz w:val="32"/>
          <w:szCs w:val="32"/>
          <w:lang w:val="en-US" w:eastAsia="zh-CN" w:bidi="ar"/>
        </w:rPr>
        <w:t xml:space="preserve">35 </w:t>
      </w:r>
      <w:r>
        <w:rPr>
          <w:rFonts w:hint="eastAsia" w:ascii="仿宋_GB2312" w:hAnsi="宋体" w:eastAsia="仿宋_GB2312" w:cs="仿宋_GB2312"/>
          <w:color w:val="000000"/>
          <w:kern w:val="0"/>
          <w:sz w:val="32"/>
          <w:szCs w:val="32"/>
          <w:lang w:val="en-US" w:eastAsia="zh-CN" w:bidi="ar"/>
        </w:rPr>
        <w:t xml:space="preserve">分。（出口额取过去两年相关商品的平均出口额。） </w:t>
      </w:r>
    </w:p>
    <w:p>
      <w:pPr>
        <w:keepNext w:val="0"/>
        <w:keepLines w:val="0"/>
        <w:widowControl/>
        <w:suppressLineNumbers w:val="0"/>
        <w:ind w:firstLine="640" w:firstLineChars="200"/>
        <w:jc w:val="both"/>
      </w:pPr>
      <w:r>
        <w:rPr>
          <w:rFonts w:hint="eastAsia" w:ascii="楷体_GB2312" w:hAnsi="楷体_GB2312" w:eastAsia="楷体_GB2312" w:cs="楷体_GB2312"/>
          <w:color w:val="000000"/>
          <w:kern w:val="0"/>
          <w:sz w:val="32"/>
          <w:szCs w:val="32"/>
          <w:lang w:val="en-US" w:eastAsia="zh-CN" w:bidi="ar"/>
        </w:rPr>
        <w:t>（二）境内外商标注册（</w:t>
      </w:r>
      <w:r>
        <w:rPr>
          <w:rFonts w:hint="default" w:ascii="楷体_GB2312" w:hAnsi="楷体_GB2312" w:eastAsia="楷体_GB2312" w:cs="楷体_GB2312"/>
          <w:color w:val="000000"/>
          <w:kern w:val="0"/>
          <w:sz w:val="32"/>
          <w:szCs w:val="32"/>
          <w:lang w:val="en-US" w:eastAsia="zh-CN" w:bidi="ar"/>
        </w:rPr>
        <w:t>10</w:t>
      </w:r>
      <w:r>
        <w:rPr>
          <w:rFonts w:hint="eastAsia" w:ascii="楷体_GB2312" w:hAnsi="楷体_GB2312" w:eastAsia="楷体_GB2312" w:cs="楷体_GB2312"/>
          <w:color w:val="000000"/>
          <w:kern w:val="0"/>
          <w:sz w:val="32"/>
          <w:szCs w:val="32"/>
          <w:lang w:val="en-US" w:eastAsia="zh-CN" w:bidi="ar"/>
        </w:rPr>
        <w:t>分）</w:t>
      </w:r>
      <w:r>
        <w:rPr>
          <w:rFonts w:hint="eastAsia" w:ascii="黑体" w:hAnsi="宋体" w:eastAsia="黑体" w:cs="黑体"/>
          <w:color w:val="000000"/>
          <w:kern w:val="0"/>
          <w:sz w:val="32"/>
          <w:szCs w:val="32"/>
          <w:lang w:val="en-US" w:eastAsia="zh-CN" w:bidi="ar"/>
        </w:rPr>
        <w:t xml:space="preserve">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境内外注册商标持有者须与出口展品牌展位申请企业一致，商标覆盖的产品应属于所申请展区规定的参展商品目录。属商标转让的，应提交有关证明材料。有境内注册商标的加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分。境外商标在一个国家（地区）注册（包括注册多个）得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分，每增加一个国家（地区）加</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分。获得欧共体市场协调局（</w:t>
      </w:r>
      <w:r>
        <w:rPr>
          <w:rFonts w:hint="default" w:ascii="TimesNewRomanPSMT" w:hAnsi="TimesNewRomanPSMT" w:eastAsia="TimesNewRomanPSMT" w:cs="TimesNewRomanPSMT"/>
          <w:color w:val="000000"/>
          <w:kern w:val="0"/>
          <w:sz w:val="32"/>
          <w:szCs w:val="32"/>
          <w:lang w:val="en-US" w:eastAsia="zh-CN" w:bidi="ar"/>
        </w:rPr>
        <w:t>OHIM</w:t>
      </w:r>
      <w:r>
        <w:rPr>
          <w:rFonts w:hint="eastAsia" w:ascii="仿宋_GB2312" w:hAnsi="宋体" w:eastAsia="仿宋_GB2312" w:cs="仿宋_GB2312"/>
          <w:color w:val="000000"/>
          <w:kern w:val="0"/>
          <w:sz w:val="32"/>
          <w:szCs w:val="32"/>
          <w:lang w:val="en-US" w:eastAsia="zh-CN" w:bidi="ar"/>
        </w:rPr>
        <w:t>）、欧盟知识产权局（</w:t>
      </w:r>
      <w:r>
        <w:rPr>
          <w:rFonts w:hint="default" w:ascii="TimesNewRomanPSMT" w:hAnsi="TimesNewRomanPSMT" w:eastAsia="TimesNewRomanPSMT" w:cs="TimesNewRomanPSMT"/>
          <w:color w:val="000000"/>
          <w:kern w:val="0"/>
          <w:sz w:val="32"/>
          <w:szCs w:val="32"/>
          <w:lang w:val="en-US" w:eastAsia="zh-CN" w:bidi="ar"/>
        </w:rPr>
        <w:t>EUIPO</w:t>
      </w:r>
      <w:r>
        <w:rPr>
          <w:rFonts w:hint="eastAsia" w:ascii="仿宋_GB2312" w:hAnsi="宋体" w:eastAsia="仿宋_GB2312" w:cs="仿宋_GB2312"/>
          <w:color w:val="000000"/>
          <w:kern w:val="0"/>
          <w:sz w:val="32"/>
          <w:szCs w:val="32"/>
          <w:lang w:val="en-US" w:eastAsia="zh-CN" w:bidi="ar"/>
        </w:rPr>
        <w:t>）、非盟（</w:t>
      </w:r>
      <w:r>
        <w:rPr>
          <w:rFonts w:hint="default" w:ascii="TimesNewRomanPSMT" w:hAnsi="TimesNewRomanPSMT" w:eastAsia="TimesNewRomanPSMT" w:cs="TimesNewRomanPSMT"/>
          <w:color w:val="000000"/>
          <w:kern w:val="0"/>
          <w:sz w:val="32"/>
          <w:szCs w:val="32"/>
          <w:lang w:val="en-US" w:eastAsia="zh-CN" w:bidi="ar"/>
        </w:rPr>
        <w:t>OAPI</w:t>
      </w:r>
      <w:r>
        <w:rPr>
          <w:rFonts w:hint="eastAsia" w:ascii="仿宋_GB2312" w:hAnsi="宋体" w:eastAsia="仿宋_GB2312" w:cs="仿宋_GB2312"/>
          <w:color w:val="000000"/>
          <w:kern w:val="0"/>
          <w:sz w:val="32"/>
          <w:szCs w:val="32"/>
          <w:lang w:val="en-US" w:eastAsia="zh-CN" w:bidi="ar"/>
        </w:rPr>
        <w:t xml:space="preserve">）注册的有效商标，按 </w:t>
      </w:r>
      <w:r>
        <w:rPr>
          <w:rFonts w:hint="default" w:ascii="TimesNewRomanPSMT" w:hAnsi="TimesNewRomanPSMT" w:eastAsia="TimesNewRomanPSMT" w:cs="TimesNewRomanPSMT"/>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分计算。 获得</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马德里协定</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国际注册的（简称</w:t>
      </w:r>
      <w:r>
        <w:rPr>
          <w:rFonts w:hint="default" w:ascii="TimesNewRomanPSMT" w:hAnsi="TimesNewRomanPSMT" w:eastAsia="TimesNewRomanPSMT" w:cs="TimesNewRomanPSMT"/>
          <w:color w:val="000000"/>
          <w:kern w:val="0"/>
          <w:sz w:val="32"/>
          <w:szCs w:val="32"/>
          <w:lang w:val="en-US" w:eastAsia="zh-CN" w:bidi="ar"/>
        </w:rPr>
        <w:t>“WIPO”</w:t>
      </w:r>
      <w:r>
        <w:rPr>
          <w:rFonts w:hint="eastAsia" w:ascii="仿宋_GB2312" w:hAnsi="宋体" w:eastAsia="仿宋_GB2312" w:cs="仿宋_GB2312"/>
          <w:color w:val="000000"/>
          <w:kern w:val="0"/>
          <w:sz w:val="32"/>
          <w:szCs w:val="32"/>
          <w:lang w:val="en-US" w:eastAsia="zh-CN" w:bidi="ar"/>
        </w:rPr>
        <w:t>或</w:t>
      </w:r>
      <w:r>
        <w:rPr>
          <w:rFonts w:hint="default" w:ascii="TimesNewRomanPSMT" w:hAnsi="TimesNewRomanPSMT" w:eastAsia="TimesNewRomanPSMT" w:cs="TimesNewRomanPSMT"/>
          <w:color w:val="000000"/>
          <w:kern w:val="0"/>
          <w:sz w:val="32"/>
          <w:szCs w:val="32"/>
          <w:lang w:val="en-US" w:eastAsia="zh-CN" w:bidi="ar"/>
        </w:rPr>
        <w:t>“OMPI”</w:t>
      </w:r>
      <w:r>
        <w:rPr>
          <w:rFonts w:hint="eastAsia" w:ascii="仿宋_GB2312" w:hAnsi="宋体" w:eastAsia="仿宋_GB2312" w:cs="仿宋_GB2312"/>
          <w:color w:val="000000"/>
          <w:kern w:val="0"/>
          <w:sz w:val="32"/>
          <w:szCs w:val="32"/>
          <w:lang w:val="en-US" w:eastAsia="zh-CN" w:bidi="ar"/>
        </w:rPr>
        <w:t>）以协定国数量计分。在</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比荷卢</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Benelux</w:t>
      </w:r>
      <w:r>
        <w:rPr>
          <w:rFonts w:hint="eastAsia" w:ascii="仿宋_GB2312" w:hAnsi="宋体" w:eastAsia="仿宋_GB2312" w:cs="仿宋_GB2312"/>
          <w:color w:val="000000"/>
          <w:kern w:val="0"/>
          <w:sz w:val="32"/>
          <w:szCs w:val="32"/>
          <w:lang w:val="en-US" w:eastAsia="zh-CN" w:bidi="ar"/>
        </w:rPr>
        <w:t xml:space="preserve">）商标联盟注册的，计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分。本项累计不超过</w:t>
      </w:r>
      <w:r>
        <w:rPr>
          <w:rFonts w:hint="default" w:ascii="TimesNewRomanPSMT" w:hAnsi="TimesNewRomanPSMT" w:eastAsia="TimesNewRomanPSMT" w:cs="TimesNewRomanPSMT"/>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分。</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（三）研发创新和自主知识产权（</w:t>
      </w:r>
      <w:r>
        <w:rPr>
          <w:rFonts w:hint="default" w:ascii="楷体_GB2312" w:hAnsi="楷体_GB2312" w:eastAsia="楷体_GB2312" w:cs="楷体_GB2312"/>
          <w:color w:val="000000"/>
          <w:kern w:val="0"/>
          <w:sz w:val="32"/>
          <w:szCs w:val="32"/>
          <w:lang w:val="en-US" w:eastAsia="zh-CN" w:bidi="ar"/>
        </w:rPr>
        <w:t>30</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1、专利与版权。专利包括在境内外申请的合法持有的发明、实用新型和外观设计，其中，在境外申请的专利特 指通过巴黎公约或专利合作条约（</w:t>
      </w:r>
      <w:r>
        <w:rPr>
          <w:rFonts w:hint="default" w:ascii="仿宋_GB2312" w:hAnsi="宋体" w:eastAsia="仿宋_GB2312" w:cs="仿宋_GB2312"/>
          <w:color w:val="000000"/>
          <w:kern w:val="0"/>
          <w:sz w:val="32"/>
          <w:szCs w:val="32"/>
          <w:lang w:val="en-US" w:eastAsia="zh-CN" w:bidi="ar"/>
        </w:rPr>
        <w:t>PCT</w:t>
      </w:r>
      <w:r>
        <w:rPr>
          <w:rFonts w:hint="eastAsia" w:ascii="仿宋_GB2312" w:hAnsi="宋体" w:eastAsia="仿宋_GB2312" w:cs="仿宋_GB2312"/>
          <w:color w:val="000000"/>
          <w:kern w:val="0"/>
          <w:sz w:val="32"/>
          <w:szCs w:val="32"/>
          <w:lang w:val="en-US" w:eastAsia="zh-CN" w:bidi="ar"/>
        </w:rPr>
        <w:t>）申请的，且可通过联合国世界知识产权组织等权威机构检索到的专利。每拥有一项发明专利得</w:t>
      </w: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分；每拥有一项实用新型专利得</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分；外观专利和版权每五项加</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分，不足五项不计分，累计不超过</w:t>
      </w: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分。此项总分</w:t>
      </w:r>
      <w:r>
        <w:rPr>
          <w:rFonts w:hint="default" w:ascii="仿宋_GB2312" w:hAnsi="宋体" w:eastAsia="仿宋_GB2312" w:cs="仿宋_GB2312"/>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2、国家认定研发创新类企业。制造业单项冠军、国家企业技术中心得 </w:t>
      </w:r>
      <w:r>
        <w:rPr>
          <w:rFonts w:hint="default" w:ascii="仿宋_GB2312" w:hAnsi="宋体" w:eastAsia="仿宋_GB2312" w:cs="仿宋_GB2312"/>
          <w:color w:val="000000"/>
          <w:kern w:val="0"/>
          <w:sz w:val="32"/>
          <w:szCs w:val="32"/>
          <w:lang w:val="en-US" w:eastAsia="zh-CN" w:bidi="ar"/>
        </w:rPr>
        <w:t>5</w:t>
      </w:r>
      <w:r>
        <w:rPr>
          <w:rFonts w:hint="default" w:ascii="TimesNewRomanPSMT" w:hAnsi="TimesNewRomanPSMT" w:eastAsia="TimesNewRomanPSMT" w:cs="TimesNewRomanPSMT"/>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分；专精特新“小巨人”、制造业单项冠军产品、国家级（包括 </w:t>
      </w:r>
      <w:r>
        <w:rPr>
          <w:rFonts w:hint="default" w:ascii="TimesNewRomanPSMT" w:hAnsi="TimesNewRomanPSMT" w:eastAsia="TimesNewRomanPSMT" w:cs="TimesNewRomanPSMT"/>
          <w:color w:val="000000"/>
          <w:kern w:val="0"/>
          <w:sz w:val="32"/>
          <w:szCs w:val="32"/>
          <w:lang w:val="en-US" w:eastAsia="zh-CN" w:bidi="ar"/>
        </w:rPr>
        <w:t xml:space="preserve">2008 </w:t>
      </w:r>
      <w:r>
        <w:rPr>
          <w:rFonts w:hint="eastAsia" w:ascii="仿宋_GB2312" w:hAnsi="宋体" w:eastAsia="仿宋_GB2312" w:cs="仿宋_GB2312"/>
          <w:color w:val="000000"/>
          <w:kern w:val="0"/>
          <w:sz w:val="32"/>
          <w:szCs w:val="32"/>
          <w:lang w:val="en-US" w:eastAsia="zh-CN" w:bidi="ar"/>
        </w:rPr>
        <w:t xml:space="preserve">年后由省级认定机构按国家标准认定的）高新技术企业得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分；省级专精特新中小企业得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分（专精特新“小巨人”企业该项不计分）。此项总分</w:t>
      </w:r>
      <w:r>
        <w:rPr>
          <w:rFonts w:hint="default" w:ascii="TimesNewRomanPSMT" w:hAnsi="TimesNewRomanPSMT" w:eastAsia="TimesNewRomanPSMT" w:cs="TimesNewRomanPSMT"/>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3、国家科学技术奖。近三年获得国家科学技术奖的，每获一项得 </w:t>
      </w:r>
      <w:r>
        <w:rPr>
          <w:rFonts w:hint="default" w:ascii="仿宋_GB2312" w:hAnsi="宋体" w:eastAsia="仿宋_GB2312" w:cs="仿宋_GB2312"/>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 xml:space="preserve">分，累计不超过 </w:t>
      </w:r>
      <w:r>
        <w:rPr>
          <w:rFonts w:hint="default" w:ascii="仿宋_GB2312" w:hAnsi="宋体" w:eastAsia="仿宋_GB2312" w:cs="仿宋_GB2312"/>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4、国家标准或行业标准。每制定或修订一个产品（技术）的国家标准或行业标准得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分，最多不超过 </w:t>
      </w:r>
      <w:r>
        <w:rPr>
          <w:rFonts w:hint="default" w:ascii="TimesNewRomanPSMT" w:hAnsi="TimesNewRomanPSMT" w:eastAsia="TimesNewRomanPSMT" w:cs="TimesNewRomanPSMT"/>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 xml:space="preserve">分。以上四项累计不超过 </w:t>
      </w:r>
      <w:r>
        <w:rPr>
          <w:rFonts w:hint="default" w:ascii="TimesNewRomanPSMT" w:hAnsi="TimesNewRomanPSMT" w:eastAsia="TimesNewRomanPSMT" w:cs="TimesNewRomanPSMT"/>
          <w:color w:val="000000"/>
          <w:kern w:val="0"/>
          <w:sz w:val="32"/>
          <w:szCs w:val="32"/>
          <w:lang w:val="en-US" w:eastAsia="zh-CN" w:bidi="ar"/>
        </w:rPr>
        <w:t xml:space="preserve">30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（四）国际通行认证（</w:t>
      </w:r>
      <w:r>
        <w:rPr>
          <w:rFonts w:hint="default" w:ascii="楷体_GB2312" w:hAnsi="楷体_GB2312" w:eastAsia="楷体_GB2312" w:cs="楷体_GB2312"/>
          <w:color w:val="000000"/>
          <w:kern w:val="0"/>
          <w:sz w:val="32"/>
          <w:szCs w:val="32"/>
          <w:lang w:val="en-US" w:eastAsia="zh-CN" w:bidi="ar"/>
        </w:rPr>
        <w:t>10</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国际通行的质量管理体系、环境管理体系或行业认证的有效证书持有者须与出口品牌展位申请企业一致，且覆盖产品应属于所申请展区规定的参展商品目录。国际质量管理体系、环境管理体系指：</w:t>
      </w:r>
      <w:r>
        <w:rPr>
          <w:rFonts w:hint="default" w:ascii="TimesNewRomanPSMT" w:hAnsi="TimesNewRomanPSMT" w:eastAsia="TimesNewRomanPSMT" w:cs="TimesNewRomanPSMT"/>
          <w:color w:val="000000"/>
          <w:kern w:val="0"/>
          <w:sz w:val="32"/>
          <w:szCs w:val="32"/>
          <w:lang w:val="en-US" w:eastAsia="zh-CN" w:bidi="ar"/>
        </w:rPr>
        <w:t xml:space="preserve">ISO9000 </w:t>
      </w:r>
      <w:r>
        <w:rPr>
          <w:rFonts w:hint="eastAsia" w:ascii="仿宋_GB2312" w:hAnsi="宋体" w:eastAsia="仿宋_GB2312" w:cs="仿宋_GB2312"/>
          <w:color w:val="000000"/>
          <w:kern w:val="0"/>
          <w:sz w:val="32"/>
          <w:szCs w:val="32"/>
          <w:lang w:val="en-US" w:eastAsia="zh-CN" w:bidi="ar"/>
        </w:rPr>
        <w:t>系列质量管理体系、</w:t>
      </w:r>
      <w:r>
        <w:rPr>
          <w:rFonts w:hint="default" w:ascii="TimesNewRomanPSMT" w:hAnsi="TimesNewRomanPSMT" w:eastAsia="TimesNewRomanPSMT" w:cs="TimesNewRomanPSMT"/>
          <w:color w:val="000000"/>
          <w:kern w:val="0"/>
          <w:sz w:val="32"/>
          <w:szCs w:val="32"/>
          <w:lang w:val="en-US" w:eastAsia="zh-CN" w:bidi="ar"/>
        </w:rPr>
        <w:t xml:space="preserve">ISO14000 </w:t>
      </w:r>
      <w:r>
        <w:rPr>
          <w:rFonts w:hint="eastAsia" w:ascii="仿宋_GB2312" w:hAnsi="宋体" w:eastAsia="仿宋_GB2312" w:cs="仿宋_GB2312"/>
          <w:color w:val="000000"/>
          <w:kern w:val="0"/>
          <w:sz w:val="32"/>
          <w:szCs w:val="32"/>
          <w:lang w:val="en-US" w:eastAsia="zh-CN" w:bidi="ar"/>
        </w:rPr>
        <w:t>系列环境管理体系、</w:t>
      </w:r>
      <w:r>
        <w:rPr>
          <w:rFonts w:hint="default" w:ascii="TimesNewRomanPSMT" w:hAnsi="TimesNewRomanPSMT" w:eastAsia="TimesNewRomanPSMT" w:cs="TimesNewRomanPSMT"/>
          <w:color w:val="000000"/>
          <w:kern w:val="0"/>
          <w:sz w:val="32"/>
          <w:szCs w:val="32"/>
          <w:lang w:val="en-US" w:eastAsia="zh-CN" w:bidi="ar"/>
        </w:rPr>
        <w:t xml:space="preserve">ISO45000 </w:t>
      </w:r>
      <w:r>
        <w:rPr>
          <w:rFonts w:ascii="仿宋" w:hAnsi="仿宋" w:eastAsia="仿宋" w:cs="仿宋"/>
          <w:color w:val="000000"/>
          <w:kern w:val="0"/>
          <w:sz w:val="32"/>
          <w:szCs w:val="32"/>
          <w:lang w:val="en-US" w:eastAsia="zh-CN" w:bidi="ar"/>
        </w:rPr>
        <w:t>系列</w:t>
      </w:r>
      <w:r>
        <w:rPr>
          <w:rFonts w:hint="eastAsia" w:ascii="仿宋" w:hAnsi="仿宋" w:eastAsia="仿宋" w:cs="仿宋"/>
          <w:color w:val="000000"/>
          <w:kern w:val="0"/>
          <w:sz w:val="32"/>
          <w:szCs w:val="32"/>
          <w:lang w:val="en-US" w:eastAsia="zh-CN" w:bidi="ar"/>
        </w:rPr>
        <w:t>职业健康安全管理体系</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SA8000 </w:t>
      </w:r>
      <w:r>
        <w:rPr>
          <w:rFonts w:hint="eastAsia" w:ascii="仿宋_GB2312" w:hAnsi="宋体" w:eastAsia="仿宋_GB2312" w:cs="仿宋_GB2312"/>
          <w:color w:val="000000"/>
          <w:kern w:val="0"/>
          <w:sz w:val="32"/>
          <w:szCs w:val="32"/>
          <w:lang w:val="en-US" w:eastAsia="zh-CN" w:bidi="ar"/>
        </w:rPr>
        <w:t xml:space="preserve">社会责任标准。通过一项认证得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分。行业认证包括面向企业的行业认证和面向产品或生产线的行业认证，其中：面向企业的行业认证包括 </w:t>
      </w:r>
      <w:r>
        <w:rPr>
          <w:rFonts w:hint="default" w:ascii="TimesNewRomanPSMT" w:hAnsi="TimesNewRomanPSMT" w:eastAsia="TimesNewRomanPSMT" w:cs="TimesNewRomanPSMT"/>
          <w:color w:val="000000"/>
          <w:kern w:val="0"/>
          <w:sz w:val="32"/>
          <w:szCs w:val="32"/>
          <w:lang w:val="en-US" w:eastAsia="zh-CN" w:bidi="ar"/>
        </w:rPr>
        <w:t>Oeko-Tex Standard 100</w:t>
      </w:r>
      <w:r>
        <w:rPr>
          <w:rFonts w:hint="eastAsia" w:ascii="仿宋_GB2312" w:hAnsi="宋体" w:eastAsia="仿宋_GB2312" w:cs="仿宋_GB2312"/>
          <w:color w:val="000000"/>
          <w:kern w:val="0"/>
          <w:sz w:val="32"/>
          <w:szCs w:val="32"/>
          <w:lang w:val="en-US" w:eastAsia="zh-CN" w:bidi="ar"/>
        </w:rPr>
        <w:t>生态纺织品认证、</w:t>
      </w:r>
      <w:r>
        <w:rPr>
          <w:rFonts w:hint="default" w:ascii="TimesNewRomanPSMT" w:hAnsi="TimesNewRomanPSMT" w:eastAsia="TimesNewRomanPSMT" w:cs="TimesNewRomanPSMT"/>
          <w:color w:val="000000"/>
          <w:kern w:val="0"/>
          <w:sz w:val="32"/>
          <w:szCs w:val="32"/>
          <w:lang w:val="en-US" w:eastAsia="zh-CN" w:bidi="ar"/>
        </w:rPr>
        <w:t xml:space="preserve">HACCP </w:t>
      </w:r>
      <w:r>
        <w:rPr>
          <w:rFonts w:hint="eastAsia" w:ascii="仿宋_GB2312" w:hAnsi="宋体" w:eastAsia="仿宋_GB2312" w:cs="仿宋_GB2312"/>
          <w:color w:val="000000"/>
          <w:kern w:val="0"/>
          <w:sz w:val="32"/>
          <w:szCs w:val="32"/>
          <w:lang w:val="en-US" w:eastAsia="zh-CN" w:bidi="ar"/>
        </w:rPr>
        <w:t xml:space="preserve">食品生产企业危害分析与关键控制点管理体系、 </w:t>
      </w:r>
      <w:r>
        <w:rPr>
          <w:rFonts w:hint="default" w:ascii="TimesNewRomanPSMT" w:hAnsi="TimesNewRomanPSMT" w:eastAsia="TimesNewRomanPSMT" w:cs="TimesNewRomanPSMT"/>
          <w:color w:val="000000"/>
          <w:kern w:val="0"/>
          <w:sz w:val="32"/>
          <w:szCs w:val="32"/>
          <w:lang w:val="en-US" w:eastAsia="zh-CN" w:bidi="ar"/>
        </w:rPr>
        <w:t xml:space="preserve">ISO22000 </w:t>
      </w:r>
      <w:r>
        <w:rPr>
          <w:rFonts w:hint="eastAsia" w:ascii="仿宋_GB2312" w:hAnsi="宋体" w:eastAsia="仿宋_GB2312" w:cs="仿宋_GB2312"/>
          <w:color w:val="000000"/>
          <w:kern w:val="0"/>
          <w:sz w:val="32"/>
          <w:szCs w:val="32"/>
          <w:lang w:val="en-US" w:eastAsia="zh-CN" w:bidi="ar"/>
        </w:rPr>
        <w:t xml:space="preserve">食品安全管理、 </w:t>
      </w:r>
      <w:r>
        <w:rPr>
          <w:rFonts w:hint="default" w:ascii="TimesNewRomanPSMT" w:hAnsi="TimesNewRomanPSMT" w:eastAsia="TimesNewRomanPSMT" w:cs="TimesNewRomanPSMT"/>
          <w:color w:val="000000"/>
          <w:kern w:val="0"/>
          <w:sz w:val="32"/>
          <w:szCs w:val="32"/>
          <w:lang w:val="en-US" w:eastAsia="zh-CN" w:bidi="ar"/>
        </w:rPr>
        <w:t xml:space="preserve">ISO/TS16949 </w:t>
      </w:r>
      <w:r>
        <w:rPr>
          <w:rFonts w:hint="eastAsia" w:ascii="仿宋_GB2312" w:hAnsi="宋体" w:eastAsia="仿宋_GB2312" w:cs="仿宋_GB2312"/>
          <w:color w:val="000000"/>
          <w:kern w:val="0"/>
          <w:sz w:val="32"/>
          <w:szCs w:val="32"/>
          <w:lang w:val="en-US" w:eastAsia="zh-CN" w:bidi="ar"/>
        </w:rPr>
        <w:t>或</w:t>
      </w:r>
      <w:r>
        <w:rPr>
          <w:rFonts w:hint="default" w:ascii="TimesNewRomanPSMT" w:hAnsi="TimesNewRomanPSMT" w:eastAsia="TimesNewRomanPSMT" w:cs="TimesNewRomanPSMT"/>
          <w:color w:val="000000"/>
          <w:kern w:val="0"/>
          <w:sz w:val="32"/>
          <w:szCs w:val="32"/>
          <w:lang w:val="en-US" w:eastAsia="zh-CN" w:bidi="ar"/>
        </w:rPr>
        <w:t xml:space="preserve">IATF16949 </w:t>
      </w:r>
      <w:r>
        <w:rPr>
          <w:rFonts w:hint="eastAsia" w:ascii="仿宋_GB2312" w:hAnsi="宋体" w:eastAsia="仿宋_GB2312" w:cs="仿宋_GB2312"/>
          <w:color w:val="000000"/>
          <w:kern w:val="0"/>
          <w:sz w:val="32"/>
          <w:szCs w:val="32"/>
          <w:lang w:val="en-US" w:eastAsia="zh-CN" w:bidi="ar"/>
        </w:rPr>
        <w:t>汽车行业质量体系、</w:t>
      </w:r>
      <w:r>
        <w:rPr>
          <w:rFonts w:hint="default" w:ascii="TimesNewRomanPSMT" w:hAnsi="TimesNewRomanPSMT" w:eastAsia="TimesNewRomanPSMT" w:cs="TimesNewRomanPSMT"/>
          <w:color w:val="000000"/>
          <w:kern w:val="0"/>
          <w:sz w:val="32"/>
          <w:szCs w:val="32"/>
          <w:lang w:val="en-US" w:eastAsia="zh-CN" w:bidi="ar"/>
        </w:rPr>
        <w:t xml:space="preserve">ISO13485 </w:t>
      </w:r>
      <w:r>
        <w:rPr>
          <w:rFonts w:hint="eastAsia" w:ascii="仿宋_GB2312" w:hAnsi="宋体" w:eastAsia="仿宋_GB2312" w:cs="仿宋_GB2312"/>
          <w:color w:val="000000"/>
          <w:kern w:val="0"/>
          <w:sz w:val="32"/>
          <w:szCs w:val="32"/>
          <w:lang w:val="en-US" w:eastAsia="zh-CN" w:bidi="ar"/>
        </w:rPr>
        <w:t>医疗器械质量管理体系认证、</w:t>
      </w:r>
      <w:r>
        <w:rPr>
          <w:rFonts w:hint="default" w:ascii="TimesNewRomanPSMT" w:hAnsi="TimesNewRomanPSMT" w:eastAsia="TimesNewRomanPSMT" w:cs="TimesNewRomanPSMT"/>
          <w:color w:val="000000"/>
          <w:kern w:val="0"/>
          <w:sz w:val="32"/>
          <w:szCs w:val="32"/>
          <w:lang w:val="en-US" w:eastAsia="zh-CN" w:bidi="ar"/>
        </w:rPr>
        <w:t xml:space="preserve">CGMP </w:t>
      </w:r>
      <w:r>
        <w:rPr>
          <w:rFonts w:hint="eastAsia" w:ascii="仿宋_GB2312" w:hAnsi="宋体" w:eastAsia="仿宋_GB2312" w:cs="仿宋_GB2312"/>
          <w:color w:val="000000"/>
          <w:kern w:val="0"/>
          <w:sz w:val="32"/>
          <w:szCs w:val="32"/>
          <w:lang w:val="en-US" w:eastAsia="zh-CN" w:bidi="ar"/>
        </w:rPr>
        <w:t xml:space="preserve">动态药品生产质量管理规范认证、英国零售商协会 </w:t>
      </w:r>
      <w:r>
        <w:rPr>
          <w:rFonts w:hint="default" w:ascii="TimesNewRomanPSMT" w:hAnsi="TimesNewRomanPSMT" w:eastAsia="TimesNewRomanPSMT" w:cs="TimesNewRomanPSMT"/>
          <w:color w:val="000000"/>
          <w:kern w:val="0"/>
          <w:sz w:val="32"/>
          <w:szCs w:val="32"/>
          <w:lang w:val="en-US" w:eastAsia="zh-CN" w:bidi="ar"/>
        </w:rPr>
        <w:t xml:space="preserve">BRC </w:t>
      </w:r>
      <w:r>
        <w:rPr>
          <w:rFonts w:hint="eastAsia" w:ascii="仿宋_GB2312" w:hAnsi="宋体" w:eastAsia="仿宋_GB2312" w:cs="仿宋_GB2312"/>
          <w:color w:val="000000"/>
          <w:kern w:val="0"/>
          <w:sz w:val="32"/>
          <w:szCs w:val="32"/>
          <w:lang w:val="en-US" w:eastAsia="zh-CN" w:bidi="ar"/>
        </w:rPr>
        <w:t xml:space="preserve">认证，通过一项认证得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分；面向产品或生产线的行业认证标准包括欧盟 </w:t>
      </w:r>
      <w:r>
        <w:rPr>
          <w:rFonts w:hint="default" w:ascii="TimesNewRomanPSMT" w:hAnsi="TimesNewRomanPSMT" w:eastAsia="TimesNewRomanPSMT" w:cs="TimesNewRomanPSMT"/>
          <w:color w:val="000000"/>
          <w:kern w:val="0"/>
          <w:sz w:val="32"/>
          <w:szCs w:val="32"/>
          <w:lang w:val="en-US" w:eastAsia="zh-CN" w:bidi="ar"/>
        </w:rPr>
        <w:t>CE</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EMC</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ROHS</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PAHS</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REACH</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EC </w:t>
      </w:r>
      <w:r>
        <w:rPr>
          <w:rFonts w:hint="eastAsia" w:ascii="仿宋_GB2312" w:hAnsi="宋体" w:eastAsia="仿宋_GB2312" w:cs="仿宋_GB2312"/>
          <w:color w:val="000000"/>
          <w:kern w:val="0"/>
          <w:sz w:val="32"/>
          <w:szCs w:val="32"/>
          <w:lang w:val="en-US" w:eastAsia="zh-CN" w:bidi="ar"/>
        </w:rPr>
        <w:t xml:space="preserve">认证、美国 </w:t>
      </w:r>
      <w:r>
        <w:rPr>
          <w:rFonts w:hint="default" w:ascii="TimesNewRomanPSMT" w:hAnsi="TimesNewRomanPSMT" w:eastAsia="TimesNewRomanPSMT" w:cs="TimesNewRomanPSMT"/>
          <w:color w:val="000000"/>
          <w:kern w:val="0"/>
          <w:sz w:val="32"/>
          <w:szCs w:val="32"/>
          <w:lang w:val="en-US" w:eastAsia="zh-CN" w:bidi="ar"/>
        </w:rPr>
        <w:t>UL</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UPC</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FDA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ETL</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FCC</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EPA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CPSC </w:t>
      </w:r>
      <w:r>
        <w:rPr>
          <w:rFonts w:hint="eastAsia" w:ascii="仿宋_GB2312" w:hAnsi="宋体" w:eastAsia="仿宋_GB2312" w:cs="仿宋_GB2312"/>
          <w:color w:val="000000"/>
          <w:kern w:val="0"/>
          <w:sz w:val="32"/>
          <w:szCs w:val="32"/>
          <w:lang w:val="en-US" w:eastAsia="zh-CN" w:bidi="ar"/>
        </w:rPr>
        <w:t xml:space="preserve">认证、美国药典认证 </w:t>
      </w:r>
      <w:r>
        <w:rPr>
          <w:rFonts w:hint="default" w:ascii="TimesNewRomanPSMT" w:hAnsi="TimesNewRomanPSMT" w:eastAsia="TimesNewRomanPSMT" w:cs="TimesNewRomanPSMT"/>
          <w:color w:val="000000"/>
          <w:kern w:val="0"/>
          <w:sz w:val="32"/>
          <w:szCs w:val="32"/>
          <w:lang w:val="en-US" w:eastAsia="zh-CN" w:bidi="ar"/>
        </w:rPr>
        <w:t>USP</w:t>
      </w:r>
      <w:r>
        <w:rPr>
          <w:rFonts w:hint="eastAsia" w:ascii="仿宋_GB2312" w:hAnsi="宋体" w:eastAsia="仿宋_GB2312" w:cs="仿宋_GB2312"/>
          <w:color w:val="000000"/>
          <w:kern w:val="0"/>
          <w:sz w:val="32"/>
          <w:szCs w:val="32"/>
          <w:lang w:val="en-US" w:eastAsia="zh-CN" w:bidi="ar"/>
        </w:rPr>
        <w:t>、加拿大</w:t>
      </w:r>
      <w:r>
        <w:rPr>
          <w:rFonts w:hint="default" w:ascii="TimesNewRomanPSMT" w:hAnsi="TimesNewRomanPSMT" w:eastAsia="TimesNewRomanPSMT" w:cs="TimesNewRomanPSMT"/>
          <w:color w:val="000000"/>
          <w:kern w:val="0"/>
          <w:sz w:val="32"/>
          <w:szCs w:val="32"/>
          <w:lang w:val="en-US" w:eastAsia="zh-CN" w:bidi="ar"/>
        </w:rPr>
        <w:t>CSA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CETL </w:t>
      </w:r>
      <w:r>
        <w:rPr>
          <w:rFonts w:hint="eastAsia" w:ascii="仿宋_GB2312" w:hAnsi="宋体" w:eastAsia="仿宋_GB2312" w:cs="仿宋_GB2312"/>
          <w:color w:val="000000"/>
          <w:kern w:val="0"/>
          <w:sz w:val="32"/>
          <w:szCs w:val="32"/>
          <w:lang w:val="en-US" w:eastAsia="zh-CN" w:bidi="ar"/>
        </w:rPr>
        <w:t xml:space="preserve">认证、澳大利亚 </w:t>
      </w:r>
      <w:r>
        <w:rPr>
          <w:rFonts w:hint="default" w:ascii="TimesNewRomanPSMT" w:hAnsi="TimesNewRomanPSMT" w:eastAsia="TimesNewRomanPSMT" w:cs="TimesNewRomanPSMT"/>
          <w:color w:val="000000"/>
          <w:kern w:val="0"/>
          <w:sz w:val="32"/>
          <w:szCs w:val="32"/>
          <w:lang w:val="en-US" w:eastAsia="zh-CN" w:bidi="ar"/>
        </w:rPr>
        <w:t>WATERMARK</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TGA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SAA</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RCM </w:t>
      </w:r>
      <w:r>
        <w:rPr>
          <w:rFonts w:hint="eastAsia" w:ascii="仿宋_GB2312" w:hAnsi="宋体" w:eastAsia="仿宋_GB2312" w:cs="仿宋_GB2312"/>
          <w:color w:val="000000"/>
          <w:kern w:val="0"/>
          <w:sz w:val="32"/>
          <w:szCs w:val="32"/>
          <w:lang w:val="en-US" w:eastAsia="zh-CN" w:bidi="ar"/>
        </w:rPr>
        <w:t xml:space="preserve">认证、欧洲药典适用性认证 </w:t>
      </w:r>
      <w:r>
        <w:rPr>
          <w:rFonts w:hint="default" w:ascii="TimesNewRomanPSMT" w:hAnsi="TimesNewRomanPSMT" w:eastAsia="TimesNewRomanPSMT" w:cs="TimesNewRomanPSMT"/>
          <w:color w:val="000000"/>
          <w:kern w:val="0"/>
          <w:sz w:val="32"/>
          <w:szCs w:val="32"/>
          <w:lang w:val="en-US" w:eastAsia="zh-CN" w:bidi="ar"/>
        </w:rPr>
        <w:t>COS</w:t>
      </w:r>
      <w:r>
        <w:rPr>
          <w:rFonts w:hint="eastAsia" w:ascii="仿宋_GB2312" w:hAnsi="宋体" w:eastAsia="仿宋_GB2312" w:cs="仿宋_GB2312"/>
          <w:color w:val="000000"/>
          <w:kern w:val="0"/>
          <w:sz w:val="32"/>
          <w:szCs w:val="32"/>
          <w:lang w:val="en-US" w:eastAsia="zh-CN" w:bidi="ar"/>
        </w:rPr>
        <w:t xml:space="preserve">、德国 </w:t>
      </w:r>
      <w:r>
        <w:rPr>
          <w:rFonts w:hint="default" w:ascii="TimesNewRomanPSMT" w:hAnsi="TimesNewRomanPSMT" w:eastAsia="TimesNewRomanPSMT" w:cs="TimesNewRomanPSMT"/>
          <w:color w:val="000000"/>
          <w:kern w:val="0"/>
          <w:sz w:val="32"/>
          <w:szCs w:val="32"/>
          <w:lang w:val="en-US" w:eastAsia="zh-CN" w:bidi="ar"/>
        </w:rPr>
        <w:t>GS</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TUV</w:t>
      </w:r>
      <w:r>
        <w:rPr>
          <w:rFonts w:hint="eastAsia" w:ascii="仿宋_GB2312" w:hAnsi="宋体" w:eastAsia="仿宋_GB2312" w:cs="仿宋_GB2312"/>
          <w:color w:val="000000"/>
          <w:kern w:val="0"/>
          <w:sz w:val="32"/>
          <w:szCs w:val="32"/>
          <w:lang w:val="en-US" w:eastAsia="zh-CN" w:bidi="ar"/>
        </w:rPr>
        <w:t xml:space="preserve">认证、英国 </w:t>
      </w:r>
      <w:r>
        <w:rPr>
          <w:rFonts w:hint="default" w:ascii="TimesNewRomanPSMT" w:hAnsi="TimesNewRomanPSMT" w:eastAsia="TimesNewRomanPSMT" w:cs="TimesNewRomanPSMT"/>
          <w:color w:val="000000"/>
          <w:kern w:val="0"/>
          <w:sz w:val="32"/>
          <w:szCs w:val="32"/>
          <w:lang w:val="en-US" w:eastAsia="zh-CN" w:bidi="ar"/>
        </w:rPr>
        <w:t>BSI</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UKCA </w:t>
      </w:r>
      <w:r>
        <w:rPr>
          <w:rFonts w:hint="eastAsia" w:ascii="仿宋_GB2312" w:hAnsi="宋体" w:eastAsia="仿宋_GB2312" w:cs="仿宋_GB2312"/>
          <w:color w:val="000000"/>
          <w:kern w:val="0"/>
          <w:sz w:val="32"/>
          <w:szCs w:val="32"/>
          <w:lang w:val="en-US" w:eastAsia="zh-CN" w:bidi="ar"/>
        </w:rPr>
        <w:t xml:space="preserve">认证、海湾 </w:t>
      </w:r>
      <w:r>
        <w:rPr>
          <w:rFonts w:hint="default" w:ascii="TimesNewRomanPSMT" w:hAnsi="TimesNewRomanPSMT" w:eastAsia="TimesNewRomanPSMT" w:cs="TimesNewRomanPSMT"/>
          <w:color w:val="000000"/>
          <w:kern w:val="0"/>
          <w:sz w:val="32"/>
          <w:szCs w:val="32"/>
          <w:lang w:val="en-US" w:eastAsia="zh-CN" w:bidi="ar"/>
        </w:rPr>
        <w:t xml:space="preserve">GCC </w:t>
      </w:r>
      <w:r>
        <w:rPr>
          <w:rFonts w:hint="eastAsia" w:ascii="仿宋_GB2312" w:hAnsi="宋体" w:eastAsia="仿宋_GB2312" w:cs="仿宋_GB2312"/>
          <w:color w:val="000000"/>
          <w:kern w:val="0"/>
          <w:sz w:val="32"/>
          <w:szCs w:val="32"/>
          <w:lang w:val="en-US" w:eastAsia="zh-CN" w:bidi="ar"/>
        </w:rPr>
        <w:t xml:space="preserve">认证、日本药品和医疗器械管理局认证 </w:t>
      </w:r>
      <w:r>
        <w:rPr>
          <w:rFonts w:hint="default" w:ascii="TimesNewRomanPSMT" w:hAnsi="TimesNewRomanPSMT" w:eastAsia="TimesNewRomanPSMT" w:cs="TimesNewRomanPSMT"/>
          <w:color w:val="000000"/>
          <w:kern w:val="0"/>
          <w:sz w:val="32"/>
          <w:szCs w:val="32"/>
          <w:lang w:val="en-US" w:eastAsia="zh-CN" w:bidi="ar"/>
        </w:rPr>
        <w:t>PMDA</w:t>
      </w:r>
      <w:r>
        <w:rPr>
          <w:rFonts w:hint="eastAsia" w:ascii="仿宋_GB2312" w:hAnsi="宋体" w:eastAsia="仿宋_GB2312" w:cs="仿宋_GB2312"/>
          <w:color w:val="000000"/>
          <w:kern w:val="0"/>
          <w:sz w:val="32"/>
          <w:szCs w:val="32"/>
          <w:lang w:val="en-US" w:eastAsia="zh-CN" w:bidi="ar"/>
        </w:rPr>
        <w:t xml:space="preserve">、日本药物主文档认证 </w:t>
      </w:r>
      <w:r>
        <w:rPr>
          <w:rFonts w:hint="default" w:ascii="TimesNewRomanPSMT" w:hAnsi="TimesNewRomanPSMT" w:eastAsia="TimesNewRomanPSMT" w:cs="TimesNewRomanPSMT"/>
          <w:color w:val="000000"/>
          <w:kern w:val="0"/>
          <w:sz w:val="32"/>
          <w:szCs w:val="32"/>
          <w:lang w:val="en-US" w:eastAsia="zh-CN" w:bidi="ar"/>
        </w:rPr>
        <w:t>JDMF</w:t>
      </w:r>
      <w:r>
        <w:rPr>
          <w:rFonts w:hint="eastAsia" w:ascii="仿宋_GB2312" w:hAnsi="宋体" w:eastAsia="仿宋_GB2312" w:cs="仿宋_GB2312"/>
          <w:color w:val="000000"/>
          <w:kern w:val="0"/>
          <w:sz w:val="32"/>
          <w:szCs w:val="32"/>
          <w:lang w:val="en-US" w:eastAsia="zh-CN" w:bidi="ar"/>
        </w:rPr>
        <w:t xml:space="preserve">、日本 </w:t>
      </w:r>
      <w:r>
        <w:rPr>
          <w:rFonts w:hint="default" w:ascii="TimesNewRomanPSMT" w:hAnsi="TimesNewRomanPSMT" w:eastAsia="TimesNewRomanPSMT" w:cs="TimesNewRomanPSMT"/>
          <w:color w:val="000000"/>
          <w:kern w:val="0"/>
          <w:sz w:val="32"/>
          <w:szCs w:val="32"/>
          <w:lang w:val="en-US" w:eastAsia="zh-CN" w:bidi="ar"/>
        </w:rPr>
        <w:t xml:space="preserve">PSE </w:t>
      </w:r>
      <w:r>
        <w:rPr>
          <w:rFonts w:hint="eastAsia" w:ascii="仿宋_GB2312" w:hAnsi="宋体" w:eastAsia="仿宋_GB2312" w:cs="仿宋_GB2312"/>
          <w:color w:val="000000"/>
          <w:kern w:val="0"/>
          <w:sz w:val="32"/>
          <w:szCs w:val="32"/>
          <w:lang w:val="en-US" w:eastAsia="zh-CN" w:bidi="ar"/>
        </w:rPr>
        <w:t xml:space="preserve">认证、韩国 </w:t>
      </w:r>
      <w:r>
        <w:rPr>
          <w:rFonts w:hint="default" w:ascii="TimesNewRomanPSMT" w:hAnsi="TimesNewRomanPSMT" w:eastAsia="TimesNewRomanPSMT" w:cs="TimesNewRomanPSMT"/>
          <w:color w:val="000000"/>
          <w:kern w:val="0"/>
          <w:sz w:val="32"/>
          <w:szCs w:val="32"/>
          <w:lang w:val="en-US" w:eastAsia="zh-CN" w:bidi="ar"/>
        </w:rPr>
        <w:t xml:space="preserve">KS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WHO PQ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Halal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Kosher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IECEE CB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BSCI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GRS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BV</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SMETA </w:t>
      </w:r>
      <w:r>
        <w:rPr>
          <w:rFonts w:hint="eastAsia" w:ascii="仿宋_GB2312" w:hAnsi="宋体" w:eastAsia="仿宋_GB2312" w:cs="仿宋_GB2312"/>
          <w:color w:val="000000"/>
          <w:kern w:val="0"/>
          <w:sz w:val="32"/>
          <w:szCs w:val="32"/>
          <w:lang w:val="en-US" w:eastAsia="zh-CN" w:bidi="ar"/>
        </w:rPr>
        <w:t xml:space="preserve">认证，通过一项认证得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分，同个产品或生产线通过多项认证累计不超过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分。以上认证累计不超过 </w:t>
      </w:r>
      <w:r>
        <w:rPr>
          <w:rFonts w:hint="default" w:ascii="TimesNewRomanPSMT" w:hAnsi="TimesNewRomanPSMT" w:eastAsia="TimesNewRomanPSMT" w:cs="TimesNewRomanPSMT"/>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（五）品牌建设（</w:t>
      </w:r>
      <w:r>
        <w:rPr>
          <w:rFonts w:hint="default" w:ascii="楷体_GB2312" w:hAnsi="楷体_GB2312" w:eastAsia="楷体_GB2312" w:cs="楷体_GB2312"/>
          <w:color w:val="000000"/>
          <w:kern w:val="0"/>
          <w:sz w:val="32"/>
          <w:szCs w:val="32"/>
          <w:lang w:val="en-US" w:eastAsia="zh-CN" w:bidi="ar"/>
        </w:rPr>
        <w:t>6</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企业进入商务部认定的国家外贸转型升级基地且主营业 务与该基地特色产业相一致的，加</w:t>
      </w:r>
      <w:r>
        <w:rPr>
          <w:rFonts w:hint="default" w:ascii="TimesNewRomanPSMT" w:hAnsi="TimesNewRomanPSMT" w:eastAsia="TimesNewRomanPSMT" w:cs="TimesNewRomanPSMT"/>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分；已建设国际营销服务体系达</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家以下的（含</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家）加</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分，</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家以上的加</w:t>
      </w: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分；参加商务部主办或支持参加的境外品牌展的加</w:t>
      </w: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分。以上三项累计不超过</w:t>
      </w:r>
      <w:r>
        <w:rPr>
          <w:rFonts w:hint="default" w:ascii="TimesNewRomanPSMT" w:hAnsi="TimesNewRomanPSMT" w:eastAsia="TimesNewRomanPSMT" w:cs="TimesNewRomanPSMT"/>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（六）行业自律（</w:t>
      </w:r>
      <w:r>
        <w:rPr>
          <w:rFonts w:hint="default" w:ascii="楷体_GB2312" w:hAnsi="楷体_GB2312" w:eastAsia="楷体_GB2312" w:cs="楷体_GB2312"/>
          <w:color w:val="000000"/>
          <w:kern w:val="0"/>
          <w:sz w:val="32"/>
          <w:szCs w:val="32"/>
          <w:lang w:val="en-US" w:eastAsia="zh-CN" w:bidi="ar"/>
        </w:rPr>
        <w:t>3</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1、积极应对国外针对我出口产品发起的</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两反（反倾销、反补贴）、两保（保障措施、特别保障措施）</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调查；积极应对国外的出口管制及制裁（</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2、自觉遵守同行业相关规定，履行行业义务，积极维护行业出口质量安全，在行业内无违规记录（</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3、获得进出口行业企业信用等级评价 </w:t>
      </w:r>
      <w:r>
        <w:rPr>
          <w:rFonts w:hint="default" w:ascii="TimesNewRomanPSMT" w:hAnsi="TimesNewRomanPSMT" w:eastAsia="TimesNewRomanPSMT" w:cs="TimesNewRomanPSMT"/>
          <w:color w:val="000000"/>
          <w:kern w:val="0"/>
          <w:sz w:val="32"/>
          <w:szCs w:val="32"/>
          <w:lang w:val="en-US" w:eastAsia="zh-CN" w:bidi="ar"/>
        </w:rPr>
        <w:t xml:space="preserve">AAA </w:t>
      </w:r>
      <w:r>
        <w:rPr>
          <w:rFonts w:hint="eastAsia" w:ascii="仿宋_GB2312" w:hAnsi="宋体" w:eastAsia="仿宋_GB2312" w:cs="仿宋_GB2312"/>
          <w:color w:val="000000"/>
          <w:kern w:val="0"/>
          <w:sz w:val="32"/>
          <w:szCs w:val="32"/>
          <w:lang w:val="en-US" w:eastAsia="zh-CN" w:bidi="ar"/>
        </w:rPr>
        <w:t>级企业（</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分），</w:t>
      </w:r>
      <w:r>
        <w:rPr>
          <w:rFonts w:hint="default" w:ascii="TimesNewRomanPSMT" w:hAnsi="TimesNewRomanPSMT" w:eastAsia="TimesNewRomanPSMT" w:cs="TimesNewRomanPSMT"/>
          <w:color w:val="000000"/>
          <w:kern w:val="0"/>
          <w:sz w:val="32"/>
          <w:szCs w:val="32"/>
          <w:lang w:val="en-US" w:eastAsia="zh-CN" w:bidi="ar"/>
        </w:rPr>
        <w:t xml:space="preserve">AA </w:t>
      </w:r>
      <w:r>
        <w:rPr>
          <w:rFonts w:hint="eastAsia" w:ascii="仿宋_GB2312" w:hAnsi="宋体" w:eastAsia="仿宋_GB2312" w:cs="仿宋_GB2312"/>
          <w:color w:val="000000"/>
          <w:kern w:val="0"/>
          <w:sz w:val="32"/>
          <w:szCs w:val="32"/>
          <w:lang w:val="en-US" w:eastAsia="zh-CN" w:bidi="ar"/>
        </w:rPr>
        <w:t>级企业（</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分），</w:t>
      </w:r>
      <w:r>
        <w:rPr>
          <w:rFonts w:hint="default" w:ascii="TimesNewRomanPSMT" w:hAnsi="TimesNewRomanPSMT" w:eastAsia="TimesNewRomanPSMT" w:cs="TimesNewRomanPSMT"/>
          <w:color w:val="000000"/>
          <w:kern w:val="0"/>
          <w:sz w:val="32"/>
          <w:szCs w:val="32"/>
          <w:lang w:val="en-US" w:eastAsia="zh-CN" w:bidi="ar"/>
        </w:rPr>
        <w:t xml:space="preserve">A </w:t>
      </w:r>
      <w:r>
        <w:rPr>
          <w:rFonts w:hint="eastAsia" w:ascii="仿宋_GB2312" w:hAnsi="宋体" w:eastAsia="仿宋_GB2312" w:cs="仿宋_GB2312"/>
          <w:color w:val="000000"/>
          <w:kern w:val="0"/>
          <w:sz w:val="32"/>
          <w:szCs w:val="32"/>
          <w:lang w:val="en-US" w:eastAsia="zh-CN" w:bidi="ar"/>
        </w:rPr>
        <w:t>级企业（</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分）。以上三项累计不超过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（七）广交会参展表现（</w:t>
      </w:r>
      <w:r>
        <w:rPr>
          <w:rFonts w:hint="default" w:ascii="楷体_GB2312" w:hAnsi="楷体_GB2312" w:eastAsia="楷体_GB2312" w:cs="楷体_GB2312"/>
          <w:color w:val="000000"/>
          <w:kern w:val="0"/>
          <w:sz w:val="32"/>
          <w:szCs w:val="32"/>
          <w:lang w:val="en-US" w:eastAsia="zh-CN" w:bidi="ar"/>
        </w:rPr>
        <w:t>6</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1、上次品牌评审以来，在广交会设计创新奖（</w:t>
      </w:r>
      <w:r>
        <w:rPr>
          <w:rFonts w:hint="default" w:ascii="TimesNewRomanPSMT" w:hAnsi="TimesNewRomanPSMT" w:eastAsia="TimesNewRomanPSMT" w:cs="TimesNewRomanPSMT"/>
          <w:color w:val="000000"/>
          <w:kern w:val="0"/>
          <w:sz w:val="32"/>
          <w:szCs w:val="32"/>
          <w:lang w:val="en-US" w:eastAsia="zh-CN" w:bidi="ar"/>
        </w:rPr>
        <w:t>CF</w:t>
      </w:r>
      <w:r>
        <w:rPr>
          <w:rFonts w:hint="eastAsia" w:ascii="仿宋_GB2312" w:hAnsi="宋体" w:eastAsia="仿宋_GB2312" w:cs="仿宋_GB2312"/>
          <w:color w:val="000000"/>
          <w:kern w:val="0"/>
          <w:sz w:val="32"/>
          <w:szCs w:val="32"/>
          <w:lang w:val="en-US" w:eastAsia="zh-CN" w:bidi="ar"/>
        </w:rPr>
        <w:t xml:space="preserve">奖）中每获至尊金奖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4 </w:t>
      </w:r>
      <w:r>
        <w:rPr>
          <w:rFonts w:hint="eastAsia" w:ascii="仿宋_GB2312" w:hAnsi="宋体" w:eastAsia="仿宋_GB2312" w:cs="仿宋_GB2312"/>
          <w:color w:val="000000"/>
          <w:kern w:val="0"/>
          <w:sz w:val="32"/>
          <w:szCs w:val="32"/>
          <w:lang w:val="en-US" w:eastAsia="zh-CN" w:bidi="ar"/>
        </w:rPr>
        <w:t>分，每获可持续发展奖</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分，每获金奖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分，每获银奖 </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分，每获铜奖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2、上次品牌评审以来，每获广交会绿色特装奖或广交会绿色展位奖金奖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分，每获广交会绿色展位奖银奖、铜奖或人气奖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分。相应展区绿色特装不合格的参展企业，从第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次不合格起计，每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次不合格扣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3、上次品牌评审以来，在广交会</w:t>
      </w:r>
      <w:r>
        <w:rPr>
          <w:rFonts w:hint="default" w:ascii="TimesNewRomanPSMT" w:hAnsi="TimesNewRomanPSMT" w:eastAsia="TimesNewRomanPSMT" w:cs="TimesNewRomanPSMT"/>
          <w:color w:val="000000"/>
          <w:kern w:val="0"/>
          <w:sz w:val="32"/>
          <w:szCs w:val="32"/>
          <w:lang w:val="en-US" w:eastAsia="zh-CN" w:bidi="ar"/>
        </w:rPr>
        <w:t>“i-</w:t>
      </w:r>
      <w:r>
        <w:rPr>
          <w:rFonts w:hint="eastAsia" w:ascii="仿宋_GB2312" w:hAnsi="宋体" w:eastAsia="仿宋_GB2312" w:cs="仿宋_GB2312"/>
          <w:color w:val="000000"/>
          <w:kern w:val="0"/>
          <w:sz w:val="32"/>
          <w:szCs w:val="32"/>
          <w:lang w:val="en-US" w:eastAsia="zh-CN" w:bidi="ar"/>
        </w:rPr>
        <w:t>邀请</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活动评比中每获金奖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次加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分，每获银奖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分。如申报多个展区品牌展位的，可自行选择其中一个展区进行加分。以上三项累计不超过 </w:t>
      </w:r>
      <w:r>
        <w:rPr>
          <w:rFonts w:hint="default" w:ascii="TimesNewRomanPSMT" w:hAnsi="TimesNewRomanPSMT" w:eastAsia="TimesNewRomanPSMT" w:cs="TimesNewRomanPSMT"/>
          <w:color w:val="000000"/>
          <w:kern w:val="0"/>
          <w:sz w:val="32"/>
          <w:szCs w:val="32"/>
          <w:lang w:val="en-US" w:eastAsia="zh-CN" w:bidi="ar"/>
        </w:rPr>
        <w:t xml:space="preserve">6 </w:t>
      </w:r>
      <w:r>
        <w:rPr>
          <w:rFonts w:hint="eastAsia" w:ascii="仿宋_GB2312" w:hAnsi="宋体" w:eastAsia="仿宋_GB2312" w:cs="仿宋_GB2312"/>
          <w:color w:val="000000"/>
          <w:kern w:val="0"/>
          <w:sz w:val="32"/>
          <w:szCs w:val="32"/>
          <w:lang w:val="en-US" w:eastAsia="zh-CN" w:bidi="ar"/>
        </w:rPr>
        <w:t>分。</w:t>
      </w:r>
    </w:p>
    <w:p>
      <w:pPr>
        <w:jc w:val="both"/>
      </w:pPr>
      <w:r>
        <w:pict>
          <v:shape id="_x0000_i1025" o:spt="75" type="#_x0000_t75" style="height:665.3pt;width:409.65pt;" filled="f" o:preferrelative="t" stroked="f" coordsize="21600,21600">
            <v:path/>
            <v:fill on="f" focussize="0,0"/>
            <v:stroke on="f"/>
            <v:imagedata r:id="rId6" o:title=""/>
            <o:lock v:ext="edit" aspectratio="t"/>
            <w10:wrap type="none"/>
            <w10:anchorlock/>
          </v:shape>
        </w:pict>
      </w:r>
    </w:p>
    <w:p>
      <w:pPr>
        <w:spacing w:line="600" w:lineRule="exact"/>
        <w:rPr>
          <w:rFonts w:hint="eastAsia" w:ascii="Times New Roman" w:hAnsi="Times New Roman" w:eastAsia="黑体" w:cs="Times New Roman"/>
          <w:sz w:val="32"/>
          <w:lang w:val="en-US" w:eastAsia="zh-CN"/>
        </w:rPr>
      </w:pPr>
      <w:r>
        <w:rPr>
          <w:rFonts w:ascii="Times New Roman" w:hAnsi="Times New Roman" w:eastAsia="黑体" w:cs="Times New Roman"/>
          <w:sz w:val="32"/>
        </w:rPr>
        <w:t>附件</w:t>
      </w:r>
      <w:r>
        <w:rPr>
          <w:rFonts w:hint="eastAsia" w:ascii="Times New Roman" w:hAnsi="Times New Roman" w:eastAsia="黑体" w:cs="Times New Roman"/>
          <w:sz w:val="32"/>
          <w:lang w:val="en-US" w:eastAsia="zh-CN"/>
        </w:rPr>
        <w:t>2</w:t>
      </w:r>
    </w:p>
    <w:p>
      <w:pPr>
        <w:widowControl/>
        <w:spacing w:line="815" w:lineRule="atLeast"/>
        <w:jc w:val="center"/>
        <w:rPr>
          <w:rFonts w:hint="eastAsia" w:ascii="PingFang SC" w:hAnsi="PingFang SC" w:cs="宋体"/>
          <w:kern w:val="0"/>
          <w:sz w:val="58"/>
          <w:szCs w:val="58"/>
        </w:rPr>
      </w:pPr>
      <w:r>
        <w:rPr>
          <w:rFonts w:ascii="PingFang SC" w:hAnsi="PingFang SC" w:cs="宋体"/>
          <w:kern w:val="0"/>
          <w:sz w:val="58"/>
          <w:szCs w:val="58"/>
        </w:rPr>
        <w:t>参展企业资格标准</w:t>
      </w:r>
    </w:p>
    <w:p>
      <w:pPr>
        <w:adjustRightInd w:val="0"/>
        <w:snapToGrid w:val="0"/>
        <w:spacing w:line="56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一、依法取得法人营业执照和外贸经营者备案登记证明，并已办理进出口企业代码。</w:t>
      </w:r>
    </w:p>
    <w:p>
      <w:pPr>
        <w:adjustRightInd w:val="0"/>
        <w:snapToGrid w:val="0"/>
        <w:spacing w:line="56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二、广交会统计口径下企业出口金额须达到以下最低标准</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（注：广交会统计口径下的出口额是指中国海关统计的一般贸易和进料加工贸易出口额中，扣除非看样成交产品如大米、大豆、原油、成品油、煤炭、焦碳、金属及非金属矿产品、烟草等后的出口额）：</w:t>
      </w:r>
    </w:p>
    <w:tbl>
      <w:tblPr>
        <w:tblStyle w:val="16"/>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2413"/>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地区</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企业类型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金额（万美元）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沿海</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流通型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沿海</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非流通型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中部及东北</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流通型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中部及东北</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非流通型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西部</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流通型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西部</w:t>
            </w:r>
          </w:p>
        </w:tc>
        <w:tc>
          <w:tcPr>
            <w:tcW w:w="241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非流通型</w:t>
            </w:r>
          </w:p>
        </w:tc>
        <w:tc>
          <w:tcPr>
            <w:tcW w:w="30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20</w:t>
            </w:r>
          </w:p>
        </w:tc>
      </w:tr>
    </w:tbl>
    <w:p>
      <w:pPr>
        <w:adjustRightInd w:val="0"/>
        <w:snapToGrid w:val="0"/>
        <w:spacing w:line="56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三、属下列情况之一的企业禁止参展：</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（一）商务部向社会公告的违规违法企业，在公告期内禁止参展。</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ascii="楷体_GB2312" w:hAnsi="Times New Roman" w:eastAsia="楷体_GB2312" w:cs="Times New Roman"/>
          <w:sz w:val="32"/>
          <w:szCs w:val="32"/>
        </w:rPr>
        <w:t>（二）国家工商、海关、税务、质检、外汇、环保、药监等部门通报的违规违法企业, 在处罚期限内禁止参展；无处罚期限的，从处罚之日起连续六届禁止参展。</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ascii="楷体_GB2312" w:hAnsi="Times New Roman" w:eastAsia="楷体_GB2312" w:cs="Times New Roman"/>
          <w:sz w:val="32"/>
          <w:szCs w:val="32"/>
        </w:rPr>
        <w:t>（三）因违规转让或转租（卖）广交会展位、涉嫌展品质量与贸易纠纷投诉、知识产权侵权等行为违反大会相关规定，并处于被取消参展资格处罚期限内的企业。</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ascii="楷体_GB2312" w:hAnsi="Times New Roman" w:eastAsia="楷体_GB2312" w:cs="Times New Roman"/>
          <w:sz w:val="32"/>
          <w:szCs w:val="32"/>
        </w:rPr>
        <w:t>（四）因拒不服从大会管理、破坏展览秩序等其他行为，被大会认为对广交会声誉或正常运营造成较大不良影响，被取消参展资格的企业。</w:t>
      </w:r>
    </w:p>
    <w:p>
      <w:pPr>
        <w:adjustRightInd w:val="0"/>
        <w:snapToGrid w:val="0"/>
        <w:spacing w:line="56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四、参展展品要求</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属下列情况之一的展品禁止参展：</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（一）《中国进出口商品交易会参展展品范围（出口展）》规定之外的展品。</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（二）不符合《中华人民共和国产品质量法》、《中华人民共和国进出口商品检验法》及其他有关出口产品质量法律法规规定的展品。</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（三）涉及商标、专利、版权，但未取得合法权利证书或使用许可合同的展品。</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（四）在商务、出入境检验检疫机构、药品等质量监督管理部门有不良记录且未经复检合格的展品。</w:t>
      </w:r>
    </w:p>
    <w:p>
      <w:pPr>
        <w:adjustRightInd w:val="0"/>
        <w:snapToGrid w:val="0"/>
        <w:spacing w:line="56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（五）被司法机关、仲裁机关或知识产权行政管理机关认定侵权的展品。</w:t>
      </w:r>
    </w:p>
    <w:p>
      <w:pPr>
        <w:adjustRightInd w:val="0"/>
        <w:snapToGrid w:val="0"/>
        <w:spacing w:beforeLines="50" w:line="590" w:lineRule="exact"/>
        <w:rPr>
          <w:rFonts w:ascii="Times New Roman" w:hAnsi="Times New Roman" w:eastAsia="仿宋_GB2312" w:cs="Times New Roman"/>
          <w:sz w:val="32"/>
          <w:szCs w:val="32"/>
        </w:rPr>
      </w:pPr>
      <w:r>
        <w:rPr>
          <w:rFonts w:ascii="黑体" w:hAnsi="黑体" w:eastAsia="黑体" w:cs="Times New Roman"/>
          <w:sz w:val="32"/>
          <w:szCs w:val="32"/>
        </w:rPr>
        <w:t>五、参展企业须承诺接受和遵守广交会出口展的有关条款和管理规定，包括《广交会出口展展位使用责任书》、《中国进出口商品交易会出口展参展须知》、《中国进出口商品交易会出口展服务指南》等</w:t>
      </w:r>
      <w:r>
        <w:rPr>
          <w:rFonts w:hint="eastAsia" w:ascii="黑体" w:hAnsi="黑体" w:eastAsia="黑体" w:cs="Times New Roman"/>
          <w:sz w:val="32"/>
          <w:szCs w:val="32"/>
          <w:lang w:eastAsia="zh-CN"/>
        </w:rPr>
        <w:t>。</w:t>
      </w:r>
    </w:p>
    <w:sectPr>
      <w:footerReference r:id="rId3" w:type="default"/>
      <w:pgSz w:w="11906" w:h="16838"/>
      <w:pgMar w:top="1786" w:right="1588" w:bottom="1219" w:left="1588" w:header="851" w:footer="907" w:gutter="0"/>
      <w:paperSrc w:first="7" w:other="7"/>
      <w:pgBorders w:display="firstPage">
        <w:bottom w:val="thickThinSmallGap" w:color="FF0000" w:sz="24" w:space="2"/>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PingFang SC">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0A249E"/>
    <w:rsid w:val="00010730"/>
    <w:rsid w:val="000146D5"/>
    <w:rsid w:val="000165FF"/>
    <w:rsid w:val="0002034A"/>
    <w:rsid w:val="00024727"/>
    <w:rsid w:val="00031A6C"/>
    <w:rsid w:val="00032F6D"/>
    <w:rsid w:val="0004081C"/>
    <w:rsid w:val="00041144"/>
    <w:rsid w:val="00046BBB"/>
    <w:rsid w:val="00053D9A"/>
    <w:rsid w:val="000617FD"/>
    <w:rsid w:val="00074E3B"/>
    <w:rsid w:val="00085EC2"/>
    <w:rsid w:val="000921BE"/>
    <w:rsid w:val="000B2294"/>
    <w:rsid w:val="000B4099"/>
    <w:rsid w:val="000B5DE1"/>
    <w:rsid w:val="000B5E0D"/>
    <w:rsid w:val="000B75CE"/>
    <w:rsid w:val="000C4129"/>
    <w:rsid w:val="000C4BAA"/>
    <w:rsid w:val="000C6613"/>
    <w:rsid w:val="000D5926"/>
    <w:rsid w:val="000D5C77"/>
    <w:rsid w:val="000F6BA2"/>
    <w:rsid w:val="000F7A12"/>
    <w:rsid w:val="00104348"/>
    <w:rsid w:val="00106E44"/>
    <w:rsid w:val="001130A3"/>
    <w:rsid w:val="00122524"/>
    <w:rsid w:val="00142EB2"/>
    <w:rsid w:val="00143FAD"/>
    <w:rsid w:val="00146785"/>
    <w:rsid w:val="00150366"/>
    <w:rsid w:val="00154215"/>
    <w:rsid w:val="00156400"/>
    <w:rsid w:val="0015717B"/>
    <w:rsid w:val="00157D20"/>
    <w:rsid w:val="00162461"/>
    <w:rsid w:val="00163F96"/>
    <w:rsid w:val="00166F6E"/>
    <w:rsid w:val="00176D37"/>
    <w:rsid w:val="00181B52"/>
    <w:rsid w:val="00187204"/>
    <w:rsid w:val="00187DEA"/>
    <w:rsid w:val="0019406F"/>
    <w:rsid w:val="00196C54"/>
    <w:rsid w:val="001A2547"/>
    <w:rsid w:val="001A2F3B"/>
    <w:rsid w:val="001B31B4"/>
    <w:rsid w:val="001C6F76"/>
    <w:rsid w:val="001D3330"/>
    <w:rsid w:val="001E04A7"/>
    <w:rsid w:val="001F153A"/>
    <w:rsid w:val="00206B25"/>
    <w:rsid w:val="00210A50"/>
    <w:rsid w:val="00221AB7"/>
    <w:rsid w:val="002237AF"/>
    <w:rsid w:val="002262D3"/>
    <w:rsid w:val="00227280"/>
    <w:rsid w:val="00241C75"/>
    <w:rsid w:val="00245D9C"/>
    <w:rsid w:val="00253766"/>
    <w:rsid w:val="00255167"/>
    <w:rsid w:val="0027110A"/>
    <w:rsid w:val="0027184E"/>
    <w:rsid w:val="00276D9B"/>
    <w:rsid w:val="002866A5"/>
    <w:rsid w:val="00292991"/>
    <w:rsid w:val="0029529E"/>
    <w:rsid w:val="00296A53"/>
    <w:rsid w:val="002B45A8"/>
    <w:rsid w:val="002C01CC"/>
    <w:rsid w:val="002C1D57"/>
    <w:rsid w:val="002D5406"/>
    <w:rsid w:val="002E09C0"/>
    <w:rsid w:val="002F24F6"/>
    <w:rsid w:val="002F641D"/>
    <w:rsid w:val="003044E6"/>
    <w:rsid w:val="00304A17"/>
    <w:rsid w:val="003050BB"/>
    <w:rsid w:val="003230AA"/>
    <w:rsid w:val="00352F1B"/>
    <w:rsid w:val="00362E4D"/>
    <w:rsid w:val="00380BC7"/>
    <w:rsid w:val="003827BC"/>
    <w:rsid w:val="00385423"/>
    <w:rsid w:val="0039184F"/>
    <w:rsid w:val="0039223F"/>
    <w:rsid w:val="00397146"/>
    <w:rsid w:val="003A00B6"/>
    <w:rsid w:val="003A43E4"/>
    <w:rsid w:val="003A7797"/>
    <w:rsid w:val="003B14CA"/>
    <w:rsid w:val="003B337A"/>
    <w:rsid w:val="003B52AF"/>
    <w:rsid w:val="003C34C8"/>
    <w:rsid w:val="003D16A7"/>
    <w:rsid w:val="003F7A11"/>
    <w:rsid w:val="0041504D"/>
    <w:rsid w:val="00416B37"/>
    <w:rsid w:val="004219ED"/>
    <w:rsid w:val="00422722"/>
    <w:rsid w:val="00424C1F"/>
    <w:rsid w:val="0043069B"/>
    <w:rsid w:val="004334BE"/>
    <w:rsid w:val="00435235"/>
    <w:rsid w:val="0044315A"/>
    <w:rsid w:val="00457084"/>
    <w:rsid w:val="004570FB"/>
    <w:rsid w:val="0047233D"/>
    <w:rsid w:val="004912C0"/>
    <w:rsid w:val="004A19A6"/>
    <w:rsid w:val="004A1A2C"/>
    <w:rsid w:val="004B7839"/>
    <w:rsid w:val="004C3506"/>
    <w:rsid w:val="004C3D4A"/>
    <w:rsid w:val="004E70E7"/>
    <w:rsid w:val="004F0799"/>
    <w:rsid w:val="004F4667"/>
    <w:rsid w:val="00515EE2"/>
    <w:rsid w:val="00521DAC"/>
    <w:rsid w:val="00527AB0"/>
    <w:rsid w:val="005469CE"/>
    <w:rsid w:val="00546DB0"/>
    <w:rsid w:val="005472D6"/>
    <w:rsid w:val="005509C7"/>
    <w:rsid w:val="005957B6"/>
    <w:rsid w:val="005A1262"/>
    <w:rsid w:val="005A3312"/>
    <w:rsid w:val="005A56C2"/>
    <w:rsid w:val="005B356B"/>
    <w:rsid w:val="005C5A0F"/>
    <w:rsid w:val="005C67F3"/>
    <w:rsid w:val="005D0822"/>
    <w:rsid w:val="005D28EC"/>
    <w:rsid w:val="005F6018"/>
    <w:rsid w:val="005F608F"/>
    <w:rsid w:val="006078EF"/>
    <w:rsid w:val="00610C1A"/>
    <w:rsid w:val="00615F7F"/>
    <w:rsid w:val="00622F99"/>
    <w:rsid w:val="00635927"/>
    <w:rsid w:val="00680967"/>
    <w:rsid w:val="00686968"/>
    <w:rsid w:val="00692A10"/>
    <w:rsid w:val="006B4056"/>
    <w:rsid w:val="006C52BC"/>
    <w:rsid w:val="006D3E4B"/>
    <w:rsid w:val="006F1961"/>
    <w:rsid w:val="006F374F"/>
    <w:rsid w:val="00702109"/>
    <w:rsid w:val="00705CD7"/>
    <w:rsid w:val="00721FB2"/>
    <w:rsid w:val="00725036"/>
    <w:rsid w:val="00726492"/>
    <w:rsid w:val="00727055"/>
    <w:rsid w:val="0074337F"/>
    <w:rsid w:val="00750793"/>
    <w:rsid w:val="007530C9"/>
    <w:rsid w:val="0077678F"/>
    <w:rsid w:val="007812FE"/>
    <w:rsid w:val="0079364B"/>
    <w:rsid w:val="007A0DCE"/>
    <w:rsid w:val="007B20EA"/>
    <w:rsid w:val="007C5004"/>
    <w:rsid w:val="007D080D"/>
    <w:rsid w:val="007E2F3E"/>
    <w:rsid w:val="007F20E3"/>
    <w:rsid w:val="007F54CF"/>
    <w:rsid w:val="00822B96"/>
    <w:rsid w:val="00824D57"/>
    <w:rsid w:val="00832748"/>
    <w:rsid w:val="0083731B"/>
    <w:rsid w:val="00852709"/>
    <w:rsid w:val="00864750"/>
    <w:rsid w:val="00865E10"/>
    <w:rsid w:val="0086676A"/>
    <w:rsid w:val="00867E36"/>
    <w:rsid w:val="00894966"/>
    <w:rsid w:val="00894E72"/>
    <w:rsid w:val="00897385"/>
    <w:rsid w:val="008978D0"/>
    <w:rsid w:val="008A2C23"/>
    <w:rsid w:val="008A5314"/>
    <w:rsid w:val="008A637E"/>
    <w:rsid w:val="008B12FC"/>
    <w:rsid w:val="008B7973"/>
    <w:rsid w:val="008C12C9"/>
    <w:rsid w:val="008C6D72"/>
    <w:rsid w:val="008C712E"/>
    <w:rsid w:val="008D6740"/>
    <w:rsid w:val="008E01F9"/>
    <w:rsid w:val="008E1AC8"/>
    <w:rsid w:val="008E313B"/>
    <w:rsid w:val="008E7152"/>
    <w:rsid w:val="008E750B"/>
    <w:rsid w:val="008F7B31"/>
    <w:rsid w:val="00902067"/>
    <w:rsid w:val="00906DD2"/>
    <w:rsid w:val="00910DE1"/>
    <w:rsid w:val="00913930"/>
    <w:rsid w:val="00921CB7"/>
    <w:rsid w:val="0092532E"/>
    <w:rsid w:val="009276B7"/>
    <w:rsid w:val="00931706"/>
    <w:rsid w:val="009346DB"/>
    <w:rsid w:val="00950F32"/>
    <w:rsid w:val="00965D60"/>
    <w:rsid w:val="0097644F"/>
    <w:rsid w:val="009765A5"/>
    <w:rsid w:val="00982531"/>
    <w:rsid w:val="00996D67"/>
    <w:rsid w:val="009A4620"/>
    <w:rsid w:val="009C10B1"/>
    <w:rsid w:val="009E14A6"/>
    <w:rsid w:val="009F3BF9"/>
    <w:rsid w:val="00A0078C"/>
    <w:rsid w:val="00A044BB"/>
    <w:rsid w:val="00A05030"/>
    <w:rsid w:val="00A15D3F"/>
    <w:rsid w:val="00A211E1"/>
    <w:rsid w:val="00A24E8D"/>
    <w:rsid w:val="00A44914"/>
    <w:rsid w:val="00A47AF0"/>
    <w:rsid w:val="00A674F3"/>
    <w:rsid w:val="00A73B42"/>
    <w:rsid w:val="00A859E2"/>
    <w:rsid w:val="00A91096"/>
    <w:rsid w:val="00A9326B"/>
    <w:rsid w:val="00AA2824"/>
    <w:rsid w:val="00AA5850"/>
    <w:rsid w:val="00AA740F"/>
    <w:rsid w:val="00AA7C96"/>
    <w:rsid w:val="00AC35B1"/>
    <w:rsid w:val="00AC3BE1"/>
    <w:rsid w:val="00AC4D7D"/>
    <w:rsid w:val="00AC51AB"/>
    <w:rsid w:val="00AC6294"/>
    <w:rsid w:val="00AD3494"/>
    <w:rsid w:val="00AE0487"/>
    <w:rsid w:val="00AF6171"/>
    <w:rsid w:val="00AF63BB"/>
    <w:rsid w:val="00AF677E"/>
    <w:rsid w:val="00B03364"/>
    <w:rsid w:val="00B1072B"/>
    <w:rsid w:val="00B21E72"/>
    <w:rsid w:val="00B22A9B"/>
    <w:rsid w:val="00B309CA"/>
    <w:rsid w:val="00B3193D"/>
    <w:rsid w:val="00B42DB1"/>
    <w:rsid w:val="00B47FB4"/>
    <w:rsid w:val="00B63123"/>
    <w:rsid w:val="00B714C2"/>
    <w:rsid w:val="00B86D2C"/>
    <w:rsid w:val="00B902F4"/>
    <w:rsid w:val="00B94D94"/>
    <w:rsid w:val="00BA074D"/>
    <w:rsid w:val="00BB4272"/>
    <w:rsid w:val="00BB718C"/>
    <w:rsid w:val="00BD0A27"/>
    <w:rsid w:val="00BD2F6C"/>
    <w:rsid w:val="00BD3D67"/>
    <w:rsid w:val="00BD6B97"/>
    <w:rsid w:val="00BF6618"/>
    <w:rsid w:val="00BF74E6"/>
    <w:rsid w:val="00C0112F"/>
    <w:rsid w:val="00C011A6"/>
    <w:rsid w:val="00C06E93"/>
    <w:rsid w:val="00C111A3"/>
    <w:rsid w:val="00C11C90"/>
    <w:rsid w:val="00C20D9E"/>
    <w:rsid w:val="00C21F14"/>
    <w:rsid w:val="00C277D2"/>
    <w:rsid w:val="00C341FB"/>
    <w:rsid w:val="00C56645"/>
    <w:rsid w:val="00C62573"/>
    <w:rsid w:val="00C639F8"/>
    <w:rsid w:val="00C67A8C"/>
    <w:rsid w:val="00C67B87"/>
    <w:rsid w:val="00C73229"/>
    <w:rsid w:val="00C80828"/>
    <w:rsid w:val="00C94F1C"/>
    <w:rsid w:val="00CA206C"/>
    <w:rsid w:val="00CA703F"/>
    <w:rsid w:val="00CB302F"/>
    <w:rsid w:val="00CB5037"/>
    <w:rsid w:val="00CB72AF"/>
    <w:rsid w:val="00CC0974"/>
    <w:rsid w:val="00CC0F02"/>
    <w:rsid w:val="00CD4BD8"/>
    <w:rsid w:val="00CD57CB"/>
    <w:rsid w:val="00CD75C7"/>
    <w:rsid w:val="00CE24FD"/>
    <w:rsid w:val="00CE677D"/>
    <w:rsid w:val="00CF15D8"/>
    <w:rsid w:val="00CF351E"/>
    <w:rsid w:val="00CF4B09"/>
    <w:rsid w:val="00CF7D9F"/>
    <w:rsid w:val="00D00541"/>
    <w:rsid w:val="00D05E19"/>
    <w:rsid w:val="00D12177"/>
    <w:rsid w:val="00D16E3D"/>
    <w:rsid w:val="00D17EA1"/>
    <w:rsid w:val="00D31394"/>
    <w:rsid w:val="00D45152"/>
    <w:rsid w:val="00D67CEC"/>
    <w:rsid w:val="00D77E35"/>
    <w:rsid w:val="00D8451F"/>
    <w:rsid w:val="00D90CAE"/>
    <w:rsid w:val="00DC28A4"/>
    <w:rsid w:val="00DE2225"/>
    <w:rsid w:val="00DE3409"/>
    <w:rsid w:val="00DF73D9"/>
    <w:rsid w:val="00E05C0E"/>
    <w:rsid w:val="00E164F5"/>
    <w:rsid w:val="00E45727"/>
    <w:rsid w:val="00E47374"/>
    <w:rsid w:val="00E50261"/>
    <w:rsid w:val="00E57CDF"/>
    <w:rsid w:val="00E738E7"/>
    <w:rsid w:val="00E759D9"/>
    <w:rsid w:val="00E760D7"/>
    <w:rsid w:val="00E76747"/>
    <w:rsid w:val="00EB0A76"/>
    <w:rsid w:val="00EB55B3"/>
    <w:rsid w:val="00EB73FC"/>
    <w:rsid w:val="00EC4A4A"/>
    <w:rsid w:val="00ED1F66"/>
    <w:rsid w:val="00EE5D88"/>
    <w:rsid w:val="00F4169D"/>
    <w:rsid w:val="00F54D5C"/>
    <w:rsid w:val="00F56AFE"/>
    <w:rsid w:val="00F62915"/>
    <w:rsid w:val="00F76991"/>
    <w:rsid w:val="00F8515B"/>
    <w:rsid w:val="00F859A6"/>
    <w:rsid w:val="00F93C99"/>
    <w:rsid w:val="00FA16B6"/>
    <w:rsid w:val="00FA56D1"/>
    <w:rsid w:val="00FA67B7"/>
    <w:rsid w:val="00FB7F4A"/>
    <w:rsid w:val="00FC18BB"/>
    <w:rsid w:val="00FC3B12"/>
    <w:rsid w:val="00FC4A14"/>
    <w:rsid w:val="00FE3812"/>
    <w:rsid w:val="00FF779C"/>
    <w:rsid w:val="02D06F2C"/>
    <w:rsid w:val="03493372"/>
    <w:rsid w:val="046A6CCD"/>
    <w:rsid w:val="05AB4054"/>
    <w:rsid w:val="06362C39"/>
    <w:rsid w:val="0AA905AD"/>
    <w:rsid w:val="0AB1291A"/>
    <w:rsid w:val="0BEF1049"/>
    <w:rsid w:val="16FD2C8F"/>
    <w:rsid w:val="1A262DA0"/>
    <w:rsid w:val="1A2D3DCC"/>
    <w:rsid w:val="1A5F1556"/>
    <w:rsid w:val="1AE37DAC"/>
    <w:rsid w:val="1BBB34FB"/>
    <w:rsid w:val="20594449"/>
    <w:rsid w:val="2A7958A6"/>
    <w:rsid w:val="2C7D7664"/>
    <w:rsid w:val="310A249E"/>
    <w:rsid w:val="330E262C"/>
    <w:rsid w:val="352246B9"/>
    <w:rsid w:val="35626DBC"/>
    <w:rsid w:val="36B6594F"/>
    <w:rsid w:val="37122B8A"/>
    <w:rsid w:val="38572225"/>
    <w:rsid w:val="3E5F0E9A"/>
    <w:rsid w:val="43B171E7"/>
    <w:rsid w:val="44183417"/>
    <w:rsid w:val="471F2685"/>
    <w:rsid w:val="485211B4"/>
    <w:rsid w:val="498B21B5"/>
    <w:rsid w:val="50465DC1"/>
    <w:rsid w:val="52947CCE"/>
    <w:rsid w:val="53B931EA"/>
    <w:rsid w:val="57540D17"/>
    <w:rsid w:val="5BE4116B"/>
    <w:rsid w:val="5D0F3181"/>
    <w:rsid w:val="5F5B0783"/>
    <w:rsid w:val="60293B94"/>
    <w:rsid w:val="6338408F"/>
    <w:rsid w:val="66001F65"/>
    <w:rsid w:val="66B305DB"/>
    <w:rsid w:val="771E7080"/>
    <w:rsid w:val="785C0A45"/>
    <w:rsid w:val="78C529B7"/>
    <w:rsid w:val="7B016CDB"/>
    <w:rsid w:val="7CCA1B4A"/>
    <w:rsid w:val="7DE6101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lang w:val="en-US" w:eastAsia="zh-CN" w:bidi="ar-SA"/>
    </w:rPr>
  </w:style>
  <w:style w:type="paragraph" w:styleId="3">
    <w:name w:val="heading 1"/>
    <w:basedOn w:val="1"/>
    <w:next w:val="1"/>
    <w:qFormat/>
    <w:uiPriority w:val="0"/>
    <w:pPr>
      <w:keepNext/>
      <w:keepLines/>
      <w:widowControl/>
      <w:adjustRightInd w:val="0"/>
      <w:spacing w:line="580" w:lineRule="atLeast"/>
      <w:jc w:val="center"/>
      <w:textAlignment w:val="baseline"/>
      <w:outlineLvl w:val="0"/>
    </w:pPr>
    <w:rPr>
      <w:rFonts w:eastAsia="华康简标题宋"/>
      <w:kern w:val="44"/>
      <w:sz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仿宋_GB2312" w:eastAsia="仿宋_GB2312"/>
      <w:sz w:val="31"/>
    </w:rPr>
  </w:style>
  <w:style w:type="paragraph" w:styleId="4">
    <w:name w:val="Normal Indent"/>
    <w:basedOn w:val="1"/>
    <w:qFormat/>
    <w:uiPriority w:val="0"/>
    <w:pPr>
      <w:ind w:firstLine="420"/>
    </w:pPr>
    <w:rPr>
      <w:rFonts w:eastAsia="仿宋_GB2312"/>
      <w:sz w:val="32"/>
    </w:rPr>
  </w:style>
  <w:style w:type="paragraph" w:styleId="5">
    <w:name w:val="Body Text 3"/>
    <w:basedOn w:val="1"/>
    <w:qFormat/>
    <w:uiPriority w:val="0"/>
    <w:pPr>
      <w:spacing w:line="600" w:lineRule="exact"/>
    </w:pPr>
    <w:rPr>
      <w:rFonts w:eastAsia="华康简标题宋"/>
      <w:sz w:val="40"/>
    </w:rPr>
  </w:style>
  <w:style w:type="paragraph" w:styleId="6">
    <w:name w:val="Closing"/>
    <w:basedOn w:val="1"/>
    <w:link w:val="30"/>
    <w:qFormat/>
    <w:uiPriority w:val="0"/>
    <w:pPr>
      <w:ind w:left="100" w:leftChars="2100"/>
    </w:pPr>
    <w:rPr>
      <w:rFonts w:cs="Times New Roman"/>
      <w:szCs w:val="22"/>
    </w:rPr>
  </w:style>
  <w:style w:type="paragraph" w:styleId="7">
    <w:name w:val="Body Text Indent"/>
    <w:basedOn w:val="1"/>
    <w:qFormat/>
    <w:uiPriority w:val="0"/>
    <w:pPr>
      <w:spacing w:line="620" w:lineRule="exact"/>
      <w:ind w:firstLine="620" w:firstLineChars="200"/>
    </w:pPr>
    <w:rPr>
      <w:rFonts w:eastAsia="仿宋_GB2312"/>
      <w:sz w:val="31"/>
    </w:rPr>
  </w:style>
  <w:style w:type="paragraph" w:styleId="8">
    <w:name w:val="Date"/>
    <w:basedOn w:val="1"/>
    <w:next w:val="1"/>
    <w:qFormat/>
    <w:uiPriority w:val="0"/>
    <w:rPr>
      <w:rFonts w:eastAsia="仿宋_GB2312"/>
      <w:sz w:val="31"/>
    </w:rPr>
  </w:style>
  <w:style w:type="paragraph" w:styleId="9">
    <w:name w:val="Body Text Indent 2"/>
    <w:basedOn w:val="1"/>
    <w:qFormat/>
    <w:uiPriority w:val="0"/>
    <w:pPr>
      <w:spacing w:line="600" w:lineRule="exact"/>
      <w:ind w:firstLine="420" w:firstLineChars="200"/>
    </w:pPr>
    <w:rPr>
      <w:rFonts w:eastAsia="仿宋_GB2312"/>
      <w:sz w:val="3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jc w:val="center"/>
    </w:pPr>
    <w:rPr>
      <w:sz w:val="18"/>
    </w:rPr>
  </w:style>
  <w:style w:type="paragraph" w:styleId="12">
    <w:name w:val="Body Text Indent 3"/>
    <w:basedOn w:val="1"/>
    <w:qFormat/>
    <w:uiPriority w:val="0"/>
    <w:pPr>
      <w:spacing w:line="620" w:lineRule="exact"/>
      <w:ind w:firstLine="630"/>
    </w:pPr>
    <w:rPr>
      <w:rFonts w:eastAsia="黑体"/>
      <w:sz w:val="31"/>
      <w:szCs w:val="24"/>
    </w:rPr>
  </w:style>
  <w:style w:type="paragraph" w:styleId="13">
    <w:name w:val="Body Text 2"/>
    <w:basedOn w:val="1"/>
    <w:qFormat/>
    <w:uiPriority w:val="0"/>
    <w:pPr>
      <w:spacing w:line="500" w:lineRule="exact"/>
      <w:jc w:val="center"/>
    </w:pPr>
    <w:rPr>
      <w:rFonts w:eastAsia="华康简标题宋"/>
      <w:sz w:val="4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link w:val="29"/>
    <w:qFormat/>
    <w:uiPriority w:val="0"/>
    <w:pPr>
      <w:spacing w:before="240" w:after="60"/>
      <w:jc w:val="center"/>
      <w:outlineLvl w:val="0"/>
    </w:pPr>
    <w:rPr>
      <w:rFonts w:ascii="Times New Roman" w:hAnsi="Times New Roman" w:eastAsia="华康简标题宋" w:cs="Times New Roman"/>
      <w:bCs/>
      <w:sz w:val="44"/>
      <w:szCs w:val="3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FollowedHyperlink"/>
    <w:basedOn w:val="18"/>
    <w:qFormat/>
    <w:uiPriority w:val="0"/>
    <w:rPr>
      <w:color w:val="800080"/>
      <w:u w:val="single"/>
    </w:rPr>
  </w:style>
  <w:style w:type="character" w:styleId="22">
    <w:name w:val="Hyperlink"/>
    <w:basedOn w:val="18"/>
    <w:qFormat/>
    <w:uiPriority w:val="0"/>
    <w:rPr>
      <w:color w:val="0000FF"/>
      <w:u w:val="single"/>
    </w:rPr>
  </w:style>
  <w:style w:type="paragraph" w:customStyle="1" w:styleId="23">
    <w:name w:val="Char Char Char Char Char Char Char"/>
    <w:basedOn w:val="1"/>
    <w:qFormat/>
    <w:uiPriority w:val="0"/>
    <w:pPr>
      <w:widowControl/>
      <w:jc w:val="left"/>
    </w:pPr>
    <w:rPr>
      <w:szCs w:val="24"/>
    </w:rPr>
  </w:style>
  <w:style w:type="paragraph" w:customStyle="1" w:styleId="24">
    <w:name w:val="p0"/>
    <w:basedOn w:val="1"/>
    <w:qFormat/>
    <w:uiPriority w:val="0"/>
    <w:pPr>
      <w:widowControl/>
    </w:pPr>
    <w:rPr>
      <w:kern w:val="0"/>
      <w:szCs w:val="21"/>
    </w:rPr>
  </w:style>
  <w:style w:type="paragraph" w:customStyle="1" w:styleId="2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6">
    <w:name w:val="Char Char Char Char Char Char Char1"/>
    <w:basedOn w:val="1"/>
    <w:qFormat/>
    <w:uiPriority w:val="0"/>
    <w:pPr>
      <w:widowControl/>
      <w:jc w:val="left"/>
    </w:pPr>
    <w:rPr>
      <w:szCs w:val="24"/>
    </w:rPr>
  </w:style>
  <w:style w:type="paragraph" w:customStyle="1" w:styleId="27">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8">
    <w:name w:val="公文正文"/>
    <w:basedOn w:val="1"/>
    <w:qFormat/>
    <w:uiPriority w:val="99"/>
    <w:pPr>
      <w:ind w:firstLine="200" w:firstLineChars="200"/>
      <w:jc w:val="left"/>
    </w:pPr>
    <w:rPr>
      <w:rFonts w:ascii="Times New Roman" w:hAnsi="Times New Roman" w:eastAsia="仿宋_GB2312" w:cs="Times New Roman"/>
      <w:kern w:val="0"/>
      <w:sz w:val="32"/>
      <w:szCs w:val="32"/>
    </w:rPr>
  </w:style>
  <w:style w:type="character" w:customStyle="1" w:styleId="29">
    <w:name w:val="标题 Char"/>
    <w:link w:val="15"/>
    <w:qFormat/>
    <w:uiPriority w:val="0"/>
    <w:rPr>
      <w:rFonts w:eastAsia="华康简标题宋" w:cs="Arial"/>
      <w:bCs/>
      <w:kern w:val="2"/>
      <w:sz w:val="44"/>
      <w:szCs w:val="32"/>
    </w:rPr>
  </w:style>
  <w:style w:type="character" w:customStyle="1" w:styleId="30">
    <w:name w:val="结束语 Char"/>
    <w:link w:val="6"/>
    <w:qFormat/>
    <w:locked/>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96;&#22806;&#20419;&#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东外促函.dot</Template>
  <Company>Chinese ORG</Company>
  <Pages>16</Pages>
  <Words>811</Words>
  <Characters>4627</Characters>
  <Lines>38</Lines>
  <Paragraphs>10</Paragraphs>
  <TotalTime>19</TotalTime>
  <ScaleCrop>false</ScaleCrop>
  <LinksUpToDate>false</LinksUpToDate>
  <CharactersWithSpaces>5428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2021-03-15T07:55:00Z</dcterms:created>
  <dc:creator>啾啾是小刘</dc:creator>
  <cp:lastModifiedBy>Administrator</cp:lastModifiedBy>
  <cp:lastPrinted>2023-05-16T01:11:00Z</cp:lastPrinted>
  <dcterms:modified xsi:type="dcterms:W3CDTF">2023-05-16T02:42:14Z</dcterms:modified>
  <dc:title>东莞市人民政府口岸办公室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