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1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附件1-1</w:t>
      </w:r>
    </w:p>
    <w:p w14:paraId="4196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contextualSpacing/>
        <w:jc w:val="center"/>
        <w:textAlignment w:val="auto"/>
        <w:rPr>
          <w:rFonts w:eastAsia="仿宋_GB2312"/>
          <w:color w:val="auto"/>
          <w:sz w:val="40"/>
          <w:szCs w:val="40"/>
        </w:rPr>
      </w:pPr>
      <w:r>
        <w:rPr>
          <w:rFonts w:hint="eastAsia" w:eastAsia="方正小标宋简体"/>
          <w:color w:val="auto"/>
          <w:kern w:val="0"/>
          <w:sz w:val="44"/>
          <w:szCs w:val="44"/>
          <w:lang w:bidi="ar"/>
        </w:rPr>
        <w:t>服务机器人专区展位数量安排评审标准</w:t>
      </w:r>
    </w:p>
    <w:p w14:paraId="6BAE5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</w:p>
    <w:p w14:paraId="7DE6C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企业</w:t>
      </w:r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申报要求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及标准</w:t>
      </w:r>
    </w:p>
    <w:p w14:paraId="40EEE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申报单位须为在中华人民共和国境内注册、具有独立法人资格的企事业单位。</w:t>
      </w:r>
    </w:p>
    <w:p w14:paraId="65323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符合机器人产业发展政策要求，具有固定的经营场所。</w:t>
      </w:r>
    </w:p>
    <w:p w14:paraId="50418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二、企业基本情况</w:t>
      </w:r>
    </w:p>
    <w:p w14:paraId="0D45A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（一）营业资质。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市场监督管理部门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颁发的《企业法人营业执照》复印件。</w:t>
      </w:r>
    </w:p>
    <w:p w14:paraId="4B581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（二）企业介绍。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包括但不限于：</w:t>
      </w:r>
    </w:p>
    <w:p w14:paraId="5EC3D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1.企业基本情况介绍（200字以上）；</w:t>
      </w:r>
    </w:p>
    <w:p w14:paraId="4FE3C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2.企业上一财年主营业务收入证明材料（财务会计报表、纳税证明等）；</w:t>
      </w:r>
    </w:p>
    <w:p w14:paraId="47D37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3.企业上一财年研发投入证明材料（财务会计报表等）；</w:t>
      </w:r>
    </w:p>
    <w:p w14:paraId="61DE1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4.企业境内外销售情况介绍；</w:t>
      </w:r>
    </w:p>
    <w:p w14:paraId="64D8B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5.企业产品介绍（200字以上，并附图片）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28DFF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6.获得的国家有关部委认可的相关奖项资料。</w:t>
      </w:r>
    </w:p>
    <w:p w14:paraId="37692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（三）声明（需法人签字、盖章）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内容如下：</w:t>
      </w:r>
    </w:p>
    <w:p w14:paraId="06818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1.申请人共上报申报文件资料XX页；</w:t>
      </w:r>
    </w:p>
    <w:p w14:paraId="65122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2.申请人依法注册，具有独立法人资格，并合法经营；</w:t>
      </w:r>
    </w:p>
    <w:p w14:paraId="2D8A9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3.依法纳税，近三年无违反国家法律法规的行为，无重大质量、生产安全等事故；</w:t>
      </w:r>
    </w:p>
    <w:p w14:paraId="083FB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4.申请人申报的所有文件和资料是准确、真实、完整和有效的；</w:t>
      </w:r>
    </w:p>
    <w:p w14:paraId="6AF29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5.申请人申报的所有复印件均与原件核对，完全一致；</w:t>
      </w:r>
    </w:p>
    <w:p w14:paraId="0970B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6.申请人承诺接受有关主管部门为审核本申请而进行的必要核查。</w:t>
      </w:r>
    </w:p>
    <w:p w14:paraId="197FF5F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1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三、境内外商标注册（10分）</w:t>
      </w:r>
    </w:p>
    <w:p w14:paraId="09491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境内外注册商标持有者须与申请企业一致，商标覆盖的产品应属于服务机器人专区规定的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展品范围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。属商标转让的，应提交有关证明材料。</w:t>
      </w:r>
    </w:p>
    <w:p w14:paraId="17ED7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一个境内注册商标得1分，累计不超过3分。境外商标在一个国家（地区）注册（包括注册多个）得1分，每增加一个国家（地区）加1分。获得欧共体市场协调局（OHIM）、欧盟知识产权局（EUIPO）、非盟（OAPI）注册的有效商标，按10分计算。获得“马德里协定”国际注册的（简称“WIPO”或“OMPI”）以协定国数量计分。在“比荷卢”（Benelux）商标联盟注册的，计3分。</w:t>
      </w:r>
    </w:p>
    <w:p w14:paraId="7E2F4C1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本项累计不超过10分。</w:t>
      </w:r>
    </w:p>
    <w:p w14:paraId="4AC00CF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1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四、研发创新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和自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主知识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产权（55分）</w:t>
      </w:r>
    </w:p>
    <w:p w14:paraId="4B740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（一）国家科学技术奖。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近三年获得国家科学技术奖的，每获一项得10分，累计不超过10分。</w:t>
      </w:r>
    </w:p>
    <w:p w14:paraId="1EEFF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（二）国家级或省级认定研发创新类企业。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造业单项冠军、国家企业技术中心得10分；专精特新“小巨人”、制造业单项冠军产品得5分、国家级高新技术企业（包括2008年后由省级认定机构按国家标准认定的）得3分；省级专精特新中小企业得1分（专精特新“小巨人”企业该项不计分）。以上累计不超过15分。</w:t>
      </w:r>
    </w:p>
    <w:p w14:paraId="005C2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（三）国家级或省部级科研项目。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三年内曾参与国家级重大科研项目企业得10分，参与省部级重大科研计划企业得5分，累计不超过15分。如入选工业和信息化部《人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机器人揭榜挂帅人物榜单》《国家重点研发计划》等。</w:t>
      </w:r>
    </w:p>
    <w:p w14:paraId="35033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（四）专利与版权。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利包括在境内外申请的合法持有的发明、实用新型和外观设计，其中，在境外申请的专利特指通过巴黎公约或专利合作条约（PCT）申请的，且可通过联合国世界知识产权组织等权威机构检索到的专利。每拥有一项发明专利得3分；每拥有一项实用新型专利得1分；外观专利和版权每五项得1分，不足五项不计分，累计不超过5分。此项总分10分。</w:t>
      </w:r>
    </w:p>
    <w:p w14:paraId="5238B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（五）国家标准或行业标准。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每参与制定或修订一个产品（技术）的国家标准得5分，每参与制定或修订一个产品（技术）的行业标准得3分，累计不超过5分。</w:t>
      </w:r>
    </w:p>
    <w:p w14:paraId="7B855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以上五项累计不超过55分。</w:t>
      </w:r>
    </w:p>
    <w:p w14:paraId="05FAF86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1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五、国际通行认证（10分）</w:t>
      </w:r>
    </w:p>
    <w:p w14:paraId="22410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国际通行的质量管理体系、环境管理体系或行业认证的有效证书持有者须与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展位申请企业一致，且覆盖产品应属于所申请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规定的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展品范围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CB27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国际质量管理体系、环境管理体系指：ISO9000系列质量管理体系、ISO14000系列环境管理体系、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ISO45000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系列职业健康安全管理体系、SA8000社会责任标准。通过一项认证得2分。</w:t>
      </w:r>
    </w:p>
    <w:p w14:paraId="0A635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行业认证包括面向企业的行业认证和面向产品或生产线的行业认证，其中：</w:t>
      </w:r>
    </w:p>
    <w:p w14:paraId="7B5BF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面向企业的行业认证包括ISO/TS16949或IATF16949汽车行业质量体系、ISO13485医疗器械质量管理体系认证、英国零售商协会BRC认证，通过一项认证得2分；</w:t>
      </w:r>
    </w:p>
    <w:p w14:paraId="55404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向产品或生产线的行业认证标准包括欧盟CE、EMC、ROHS、PAHS、REACH、EC认证、美国UL、UPC、FDA、ETL、FCC、EPA、CPSC认证、加拿大CSA、CETL认证、澳大利亚WATERMARK、TGA、SAA认证、RCM认证、德国GS、TUV认证、英国BSI、UKCA认证、海湾GCC认证、日本PSE认证、韩国KS认证、WHO PQ认证、Halal认证、Kosher认证、IECEE CB认证、BSCI认证、GRS认证、BV认证、SMETA认证，通过一项认证得1分，同个产品或生产线通过多项认证累计不超过2分。</w:t>
      </w:r>
    </w:p>
    <w:p w14:paraId="6FFCD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以上认证累计不超过10分。</w:t>
      </w:r>
    </w:p>
    <w:p w14:paraId="08D718E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1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六、自主可控能力（10分）</w:t>
      </w:r>
    </w:p>
    <w:p w14:paraId="7DA0C54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1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有自有工厂的企业得5分；有自主研发中心的企业得5分；有上游供应链管理能力的企业得5分。本项累计不超过10分。</w:t>
      </w:r>
    </w:p>
    <w:p w14:paraId="7D564B5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1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七、行业影响力（15分）</w:t>
      </w:r>
    </w:p>
    <w:p w14:paraId="7C374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商会推荐的专家结合产品的创新性、市场认可度以及企业和产品在行业中的影响力等维度进行专业评分。其中，具身机器人（人形机器人、机器狗等）企业得8分。全球知名或独角兽企业得5分。本项累计不超过15分。</w:t>
      </w:r>
    </w:p>
    <w:p w14:paraId="45901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八、展位使用管理要求</w:t>
      </w:r>
    </w:p>
    <w:p w14:paraId="56A23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（一）展位数量。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每家企业获得展位数不低于4个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且按照特装要求搭建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。安排结果在广交会官网公示公布。</w:t>
      </w:r>
    </w:p>
    <w:p w14:paraId="34BFE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（二）展位位置。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参展企业得分，按照优企优地、同类产品适当集聚的原则安排。安排结果在广交会官网公示公布。</w:t>
      </w:r>
    </w:p>
    <w:p w14:paraId="71F8E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（三）展位使用管理。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展位仅限本企业使用，不得与有联合经营或供货关系的企业共同参展。一经发现违反广交会展位使用管理规定相关行为，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按照《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中国进出口商品交易会出口展展位使用管理规定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》处理。</w:t>
      </w:r>
    </w:p>
    <w:p w14:paraId="255CC6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（四）展位动态调整。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专区参展企业原则上实行二年一评制，其展位数量安排原则上保持四届不变。允许企业退回展位，退回部分参照本标准重新安排至有需求的企业。两次重评期间，非专区企业可随时提交、补充或更新申请材料。申报时间节点参照每届品牌展位申报通知执行。</w:t>
      </w:r>
    </w:p>
    <w:p w14:paraId="74519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3ED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5CDC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5CDC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60CC8"/>
    <w:rsid w:val="00F4369B"/>
    <w:rsid w:val="035C22B8"/>
    <w:rsid w:val="03725938"/>
    <w:rsid w:val="0A741957"/>
    <w:rsid w:val="0EC56195"/>
    <w:rsid w:val="2E351B6B"/>
    <w:rsid w:val="2FA15D58"/>
    <w:rsid w:val="307F68C1"/>
    <w:rsid w:val="3297495E"/>
    <w:rsid w:val="435C7DE1"/>
    <w:rsid w:val="5B94144C"/>
    <w:rsid w:val="70F7658F"/>
    <w:rsid w:val="71DA5154"/>
    <w:rsid w:val="7ED5524D"/>
    <w:rsid w:val="7F56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rFonts w:eastAsia="仿宋_GB2312" w:asciiTheme="minorAscii" w:hAnsiTheme="minorAscii"/>
      <w:sz w:val="30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customStyle="1" w:styleId="8">
    <w:name w:val="WPSOffice手动目录 2"/>
    <w:basedOn w:val="5"/>
    <w:next w:val="1"/>
    <w:link w:val="9"/>
    <w:qFormat/>
    <w:uiPriority w:val="0"/>
    <w:pPr>
      <w:ind w:left="0" w:leftChars="0"/>
      <w:jc w:val="left"/>
    </w:pPr>
    <w:rPr>
      <w:rFonts w:ascii="Times New Roman" w:hAnsi="Times New Roman" w:eastAsia="仿宋_GB2312"/>
      <w:sz w:val="24"/>
      <w:szCs w:val="20"/>
    </w:rPr>
  </w:style>
  <w:style w:type="character" w:customStyle="1" w:styleId="9">
    <w:name w:val="WPSOffice手动目录 2 Char"/>
    <w:link w:val="8"/>
    <w:qFormat/>
    <w:uiPriority w:val="0"/>
    <w:rPr>
      <w:rFonts w:ascii="Times New Roman" w:hAnsi="Times New Roman" w:eastAsia="仿宋_GB2312"/>
      <w:sz w:val="24"/>
      <w:szCs w:val="20"/>
    </w:rPr>
  </w:style>
  <w:style w:type="paragraph" w:customStyle="1" w:styleId="10">
    <w:name w:val="CM10"/>
    <w:basedOn w:val="1"/>
    <w:next w:val="1"/>
    <w:qFormat/>
    <w:uiPriority w:val="0"/>
    <w:pPr>
      <w:autoSpaceDE w:val="0"/>
      <w:autoSpaceDN w:val="0"/>
      <w:adjustRightInd w:val="0"/>
      <w:spacing w:line="580" w:lineRule="atLeast"/>
      <w:jc w:val="left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2166</Words>
  <Characters>2373</Characters>
  <Lines>0</Lines>
  <Paragraphs>0</Paragraphs>
  <TotalTime>1</TotalTime>
  <ScaleCrop>false</ScaleCrop>
  <LinksUpToDate>false</LinksUpToDate>
  <CharactersWithSpaces>2375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2025-05-20T02:38:00Z</dcterms:created>
  <dc:creator>sukiis_</dc:creator>
  <cp:lastModifiedBy>lxy</cp:lastModifiedBy>
  <cp:lastPrinted>2025-12-05T07:16:00Z</cp:lastPrinted>
  <dcterms:modified xsi:type="dcterms:W3CDTF">2025-12-11T01:20:35Z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730F286F88B14553A5C6B4D31BF5FAAB_13</vt:lpwstr>
  </property>
  <property fmtid="{D5CDD505-2E9C-101B-9397-08002B2CF9AE}" pid="4" name="KSOTemplateDocerSaveRecord">
    <vt:lpwstr>eyJoZGlkIjoiMWIxMTFlMzY1Y2QxZGRhODNmZjk5NjRjNGQ3MTI3YmUiLCJ1c2VySWQiOiIxNjQ0OTI5Mjg4In0=</vt:lpwstr>
  </property>
</Properties>
</file>