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192" w:type="dxa"/>
        <w:jc w:val="center"/>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92"/>
      </w:tblGrid>
      <w:tr>
        <w:tblPrEx>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PrEx>
        <w:trPr>
          <w:trHeight w:val="1049" w:hRule="exact"/>
          <w:jc w:val="center"/>
        </w:trPr>
        <w:tc>
          <w:tcPr>
            <w:tcW w:w="9192" w:type="dxa"/>
            <w:vAlign w:val="center"/>
          </w:tcPr>
          <w:p>
            <w:pPr>
              <w:pStyle w:val="3"/>
              <w:autoSpaceDE w:val="0"/>
              <w:autoSpaceDN w:val="0"/>
              <w:snapToGrid w:val="0"/>
              <w:ind w:left="506" w:leftChars="241" w:right="-8" w:rightChars="-4"/>
              <w:rPr>
                <w:rFonts w:ascii="Times New Roman" w:hAnsi="Times New Roman" w:eastAsia="方正小标宋简体" w:cs="Times New Roman"/>
                <w:b/>
                <w:color w:val="FF0000"/>
                <w:spacing w:val="130"/>
                <w:w w:val="75"/>
                <w:kern w:val="72"/>
                <w:sz w:val="72"/>
                <w:szCs w:val="22"/>
              </w:rPr>
            </w:pPr>
            <w:bookmarkStart w:id="0" w:name="_Toc509125052"/>
            <w:r>
              <w:rPr>
                <w:rFonts w:hint="eastAsia" w:ascii="方正小标宋简体" w:eastAsia="方正小标宋简体"/>
                <w:b/>
                <w:color w:val="FF0000"/>
                <w:spacing w:val="130"/>
                <w:w w:val="90"/>
                <w:kern w:val="72"/>
                <w:sz w:val="72"/>
              </w:rPr>
              <w:t>东 莞 市</w:t>
            </w:r>
            <w:bookmarkEnd w:id="0"/>
            <w:r>
              <w:rPr>
                <w:rFonts w:hint="eastAsia" w:ascii="方正小标宋简体" w:eastAsia="方正小标宋简体"/>
                <w:b/>
                <w:color w:val="FF0000"/>
                <w:spacing w:val="130"/>
                <w:w w:val="90"/>
                <w:kern w:val="72"/>
                <w:sz w:val="72"/>
              </w:rPr>
              <w:t xml:space="preserve"> 商 务 局</w:t>
            </w: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小标宋简体" w:cs="Times New Roman"/>
          <w:sz w:val="44"/>
          <w:szCs w:val="44"/>
        </w:rPr>
      </w:pPr>
    </w:p>
    <w:p>
      <w:pPr>
        <w:pStyle w:val="2"/>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eastAsia="zh-CN"/>
        </w:rPr>
        <w:t>关于第</w:t>
      </w:r>
      <w:r>
        <w:rPr>
          <w:rFonts w:hint="eastAsia" w:ascii="Times New Roman" w:hAnsi="Times New Roman" w:eastAsia="方正小标宋简体" w:cs="Times New Roman"/>
          <w:sz w:val="44"/>
          <w:szCs w:val="44"/>
          <w:lang w:val="en-US" w:eastAsia="zh-CN"/>
        </w:rPr>
        <w:t>132届广交会出口展展位</w:t>
      </w:r>
    </w:p>
    <w:p>
      <w:pPr>
        <w:pStyle w:val="2"/>
        <w:rPr>
          <w:rFonts w:hint="eastAsia" w:ascii="仿宋_GB2312" w:hAnsi="仿宋_GB2312" w:eastAsia="仿宋_GB2312" w:cs="仿宋_GB2312"/>
          <w:sz w:val="28"/>
          <w:szCs w:val="28"/>
          <w:lang w:val="en-US" w:eastAsia="zh-CN"/>
        </w:rPr>
      </w:pPr>
      <w:r>
        <w:rPr>
          <w:rFonts w:hint="eastAsia" w:ascii="Times New Roman" w:hAnsi="Times New Roman" w:eastAsia="方正小标宋简体" w:cs="Times New Roman"/>
          <w:sz w:val="44"/>
          <w:szCs w:val="44"/>
          <w:lang w:val="en-US" w:eastAsia="zh-CN"/>
        </w:rPr>
        <w:t>申请事宜的通知</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8"/>
          <w:szCs w:val="28"/>
          <w:lang w:val="en-US" w:eastAsia="zh-CN"/>
        </w:rPr>
      </w:pPr>
    </w:p>
    <w:p>
      <w:pPr>
        <w:spacing w:line="240" w:lineRule="auto"/>
        <w:jc w:val="left"/>
        <w:rPr>
          <w:rFonts w:hint="eastAsia" w:ascii="仿宋_GB2312" w:hAnsi="仿宋_GB2312" w:eastAsia="仿宋_GB2312" w:cs="仿宋_GB2312"/>
          <w:sz w:val="32"/>
          <w:szCs w:val="44"/>
        </w:rPr>
      </w:pPr>
      <w:r>
        <w:rPr>
          <w:rFonts w:hint="eastAsia" w:ascii="仿宋_GB2312" w:hAnsi="仿宋_GB2312" w:eastAsia="仿宋_GB2312" w:cs="仿宋_GB2312"/>
          <w:sz w:val="32"/>
          <w:szCs w:val="44"/>
        </w:rPr>
        <w:t>各园区、镇街商务主管部门及有关企业：</w:t>
      </w:r>
    </w:p>
    <w:p>
      <w:pPr>
        <w:keepNext w:val="0"/>
        <w:keepLines w:val="0"/>
        <w:pageBreakBefore w:val="0"/>
        <w:widowControl w:val="0"/>
        <w:kinsoku/>
        <w:overflowPunct/>
        <w:topLinePunct w:val="0"/>
        <w:autoSpaceDE/>
        <w:autoSpaceDN/>
        <w:bidi w:val="0"/>
        <w:spacing w:line="240" w:lineRule="auto"/>
        <w:ind w:firstLine="640" w:firstLineChars="200"/>
        <w:jc w:val="left"/>
        <w:textAlignment w:val="auto"/>
        <w:rPr>
          <w:rFonts w:ascii="仿宋_GB2312" w:hAnsi="仿宋" w:eastAsia="仿宋_GB2312" w:cs="仿宋_GB2312"/>
          <w:sz w:val="32"/>
          <w:szCs w:val="44"/>
          <w:highlight w:val="none"/>
        </w:rPr>
      </w:pPr>
      <w:r>
        <w:rPr>
          <w:rFonts w:hint="eastAsia" w:ascii="仿宋_GB2312" w:hAnsi="仿宋" w:eastAsia="仿宋_GB2312" w:cs="仿宋_GB2312"/>
          <w:sz w:val="32"/>
          <w:szCs w:val="44"/>
          <w:highlight w:val="none"/>
        </w:rPr>
        <w:t>第13</w:t>
      </w:r>
      <w:r>
        <w:rPr>
          <w:rFonts w:hint="eastAsia" w:ascii="仿宋_GB2312" w:hAnsi="仿宋" w:eastAsia="仿宋_GB2312" w:cs="仿宋_GB2312"/>
          <w:sz w:val="32"/>
          <w:szCs w:val="44"/>
          <w:highlight w:val="none"/>
          <w:lang w:val="en-US" w:eastAsia="zh-CN"/>
        </w:rPr>
        <w:t>2</w:t>
      </w:r>
      <w:r>
        <w:rPr>
          <w:rFonts w:hint="eastAsia" w:ascii="仿宋_GB2312" w:hAnsi="仿宋" w:eastAsia="仿宋_GB2312" w:cs="仿宋_GB2312"/>
          <w:sz w:val="32"/>
          <w:szCs w:val="44"/>
          <w:highlight w:val="none"/>
        </w:rPr>
        <w:t>届中国进出口商品交易会（以下简称第13</w:t>
      </w:r>
      <w:r>
        <w:rPr>
          <w:rFonts w:hint="eastAsia" w:ascii="仿宋_GB2312" w:hAnsi="仿宋" w:eastAsia="仿宋_GB2312" w:cs="仿宋_GB2312"/>
          <w:sz w:val="32"/>
          <w:szCs w:val="44"/>
          <w:highlight w:val="none"/>
          <w:lang w:val="en-US" w:eastAsia="zh-CN"/>
        </w:rPr>
        <w:t>2</w:t>
      </w:r>
      <w:r>
        <w:rPr>
          <w:rFonts w:hint="eastAsia" w:ascii="仿宋_GB2312" w:hAnsi="仿宋" w:eastAsia="仿宋_GB2312" w:cs="仿宋_GB2312"/>
          <w:sz w:val="32"/>
          <w:szCs w:val="44"/>
          <w:highlight w:val="none"/>
        </w:rPr>
        <w:t>届广交会）</w:t>
      </w:r>
      <w:r>
        <w:rPr>
          <w:rFonts w:hint="eastAsia" w:ascii="仿宋_GB2312" w:hAnsi="仿宋" w:eastAsia="仿宋_GB2312" w:cs="仿宋_GB2312"/>
          <w:kern w:val="0"/>
          <w:sz w:val="32"/>
          <w:szCs w:val="44"/>
          <w:highlight w:val="none"/>
        </w:rPr>
        <w:t>出口展展位申请</w:t>
      </w:r>
      <w:r>
        <w:rPr>
          <w:rFonts w:hint="eastAsia" w:ascii="仿宋_GB2312" w:hAnsi="仿宋" w:eastAsia="仿宋_GB2312" w:cs="仿宋_GB2312"/>
          <w:sz w:val="32"/>
          <w:szCs w:val="44"/>
          <w:highlight w:val="none"/>
        </w:rPr>
        <w:t>于202</w:t>
      </w:r>
      <w:r>
        <w:rPr>
          <w:rFonts w:hint="eastAsia" w:ascii="仿宋_GB2312" w:hAnsi="仿宋" w:eastAsia="仿宋_GB2312" w:cs="仿宋_GB2312"/>
          <w:sz w:val="32"/>
          <w:szCs w:val="44"/>
          <w:highlight w:val="none"/>
          <w:lang w:val="en-US" w:eastAsia="zh-CN"/>
        </w:rPr>
        <w:t>2</w:t>
      </w:r>
      <w:r>
        <w:rPr>
          <w:rFonts w:hint="eastAsia" w:ascii="仿宋_GB2312" w:hAnsi="仿宋" w:eastAsia="仿宋_GB2312" w:cs="仿宋_GB2312"/>
          <w:sz w:val="32"/>
          <w:szCs w:val="44"/>
          <w:highlight w:val="none"/>
        </w:rPr>
        <w:t>年</w:t>
      </w:r>
      <w:r>
        <w:rPr>
          <w:rFonts w:hint="eastAsia" w:ascii="仿宋_GB2312" w:hAnsi="仿宋" w:eastAsia="仿宋_GB2312" w:cs="仿宋_GB2312"/>
          <w:sz w:val="32"/>
          <w:szCs w:val="44"/>
          <w:highlight w:val="none"/>
          <w:lang w:val="en-US" w:eastAsia="zh-CN"/>
        </w:rPr>
        <w:t>5</w:t>
      </w:r>
      <w:r>
        <w:rPr>
          <w:rFonts w:hint="eastAsia" w:ascii="仿宋_GB2312" w:hAnsi="仿宋" w:eastAsia="仿宋_GB2312" w:cs="仿宋_GB2312"/>
          <w:sz w:val="32"/>
          <w:szCs w:val="44"/>
          <w:highlight w:val="none"/>
        </w:rPr>
        <w:t>月</w:t>
      </w:r>
      <w:r>
        <w:rPr>
          <w:rFonts w:hint="eastAsia" w:ascii="仿宋_GB2312" w:hAnsi="仿宋" w:eastAsia="仿宋_GB2312" w:cs="仿宋_GB2312"/>
          <w:sz w:val="32"/>
          <w:szCs w:val="44"/>
          <w:highlight w:val="none"/>
          <w:lang w:val="en-US" w:eastAsia="zh-CN"/>
        </w:rPr>
        <w:t>7</w:t>
      </w:r>
      <w:r>
        <w:rPr>
          <w:rFonts w:hint="eastAsia" w:ascii="仿宋_GB2312" w:hAnsi="仿宋" w:eastAsia="仿宋_GB2312" w:cs="仿宋_GB2312"/>
          <w:sz w:val="32"/>
          <w:szCs w:val="44"/>
          <w:highlight w:val="none"/>
        </w:rPr>
        <w:t>日启动。现将有关事宜</w:t>
      </w:r>
      <w:r>
        <w:rPr>
          <w:rFonts w:hint="eastAsia" w:ascii="仿宋_GB2312" w:hAnsi="仿宋" w:eastAsia="仿宋_GB2312" w:cs="仿宋_GB2312"/>
          <w:sz w:val="32"/>
          <w:szCs w:val="44"/>
          <w:highlight w:val="none"/>
          <w:lang w:eastAsia="zh-CN"/>
        </w:rPr>
        <w:t>通知</w:t>
      </w:r>
      <w:r>
        <w:rPr>
          <w:rFonts w:hint="eastAsia" w:ascii="仿宋_GB2312" w:hAnsi="仿宋" w:eastAsia="仿宋_GB2312" w:cs="仿宋_GB2312"/>
          <w:sz w:val="32"/>
          <w:szCs w:val="44"/>
          <w:highlight w:val="none"/>
        </w:rPr>
        <w:t>如下：</w:t>
      </w:r>
    </w:p>
    <w:p>
      <w:pPr>
        <w:numPr>
          <w:ilvl w:val="0"/>
          <w:numId w:val="1"/>
        </w:numPr>
        <w:spacing w:line="24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展览时间及形式</w:t>
      </w:r>
    </w:p>
    <w:p>
      <w:pPr>
        <w:keepNext w:val="0"/>
        <w:keepLines w:val="0"/>
        <w:pageBreakBefore w:val="0"/>
        <w:widowControl w:val="0"/>
        <w:kinsoku/>
        <w:overflowPunct/>
        <w:topLinePunct w:val="0"/>
        <w:autoSpaceDE/>
        <w:autoSpaceDN/>
        <w:bidi w:val="0"/>
        <w:spacing w:line="240" w:lineRule="auto"/>
        <w:ind w:firstLine="640" w:firstLineChars="200"/>
        <w:jc w:val="left"/>
        <w:textAlignment w:val="auto"/>
        <w:rPr>
          <w:rFonts w:hint="eastAsia" w:ascii="仿宋_GB2312" w:hAnsi="仿宋" w:eastAsia="仿宋_GB2312" w:cs="仿宋_GB2312"/>
          <w:sz w:val="32"/>
          <w:szCs w:val="44"/>
          <w:highlight w:val="none"/>
        </w:rPr>
      </w:pPr>
      <w:r>
        <w:rPr>
          <w:rFonts w:hint="eastAsia" w:ascii="仿宋_GB2312" w:hAnsi="仿宋" w:eastAsia="仿宋_GB2312" w:cs="仿宋_GB2312"/>
          <w:sz w:val="32"/>
          <w:szCs w:val="44"/>
          <w:highlight w:val="none"/>
        </w:rPr>
        <w:t>第13</w:t>
      </w:r>
      <w:r>
        <w:rPr>
          <w:rFonts w:hint="eastAsia" w:ascii="仿宋_GB2312" w:hAnsi="仿宋" w:eastAsia="仿宋_GB2312" w:cs="仿宋_GB2312"/>
          <w:sz w:val="32"/>
          <w:szCs w:val="44"/>
          <w:highlight w:val="none"/>
          <w:lang w:val="en-US" w:eastAsia="zh-CN"/>
        </w:rPr>
        <w:t>2</w:t>
      </w:r>
      <w:r>
        <w:rPr>
          <w:rFonts w:hint="eastAsia" w:ascii="仿宋_GB2312" w:hAnsi="仿宋" w:eastAsia="仿宋_GB2312" w:cs="仿宋_GB2312"/>
          <w:sz w:val="32"/>
          <w:szCs w:val="44"/>
          <w:highlight w:val="none"/>
        </w:rPr>
        <w:t>届广交会</w:t>
      </w:r>
      <w:r>
        <w:rPr>
          <w:rFonts w:hint="eastAsia" w:ascii="仿宋_GB2312" w:hAnsi="仿宋" w:eastAsia="仿宋_GB2312" w:cs="仿宋_GB2312"/>
          <w:sz w:val="32"/>
          <w:szCs w:val="44"/>
          <w:highlight w:val="none"/>
          <w:lang w:eastAsia="zh-CN"/>
        </w:rPr>
        <w:t>计划</w:t>
      </w:r>
      <w:r>
        <w:rPr>
          <w:rFonts w:hint="eastAsia" w:ascii="仿宋_GB2312" w:hAnsi="仿宋" w:eastAsia="仿宋_GB2312" w:cs="仿宋_GB2312"/>
          <w:sz w:val="32"/>
          <w:szCs w:val="44"/>
          <w:highlight w:val="none"/>
        </w:rPr>
        <w:t>于202</w:t>
      </w:r>
      <w:r>
        <w:rPr>
          <w:rFonts w:hint="eastAsia" w:ascii="仿宋_GB2312" w:hAnsi="仿宋" w:eastAsia="仿宋_GB2312" w:cs="仿宋_GB2312"/>
          <w:sz w:val="32"/>
          <w:szCs w:val="44"/>
          <w:highlight w:val="none"/>
          <w:lang w:val="en-US" w:eastAsia="zh-CN"/>
        </w:rPr>
        <w:t>2</w:t>
      </w:r>
      <w:r>
        <w:rPr>
          <w:rFonts w:hint="eastAsia" w:ascii="仿宋_GB2312" w:hAnsi="仿宋" w:eastAsia="仿宋_GB2312" w:cs="仿宋_GB2312"/>
          <w:sz w:val="32"/>
          <w:szCs w:val="44"/>
          <w:highlight w:val="none"/>
        </w:rPr>
        <w:t>年10月中下旬举办。具体</w:t>
      </w:r>
      <w:r>
        <w:rPr>
          <w:rFonts w:hint="eastAsia" w:ascii="仿宋_GB2312" w:hAnsi="仿宋" w:eastAsia="仿宋_GB2312" w:cs="仿宋_GB2312"/>
          <w:sz w:val="32"/>
          <w:szCs w:val="44"/>
          <w:highlight w:val="none"/>
          <w:lang w:eastAsia="zh-CN"/>
        </w:rPr>
        <w:t>举办</w:t>
      </w:r>
      <w:r>
        <w:rPr>
          <w:rFonts w:hint="eastAsia" w:ascii="仿宋_GB2312" w:hAnsi="仿宋" w:eastAsia="仿宋_GB2312" w:cs="仿宋_GB2312"/>
          <w:sz w:val="32"/>
          <w:szCs w:val="44"/>
          <w:highlight w:val="none"/>
        </w:rPr>
        <w:t>形式与规模将综合疫情形势、防控要求等因素确定。</w:t>
      </w:r>
    </w:p>
    <w:p>
      <w:pPr>
        <w:spacing w:line="24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二、展出内容板块</w:t>
      </w:r>
    </w:p>
    <w:p>
      <w:pPr>
        <w:keepNext w:val="0"/>
        <w:keepLines w:val="0"/>
        <w:pageBreakBefore w:val="0"/>
        <w:widowControl w:val="0"/>
        <w:kinsoku/>
        <w:overflowPunct/>
        <w:topLinePunct w:val="0"/>
        <w:autoSpaceDE/>
        <w:autoSpaceDN/>
        <w:bidi w:val="0"/>
        <w:spacing w:line="240" w:lineRule="auto"/>
        <w:ind w:firstLine="640" w:firstLineChars="200"/>
        <w:jc w:val="left"/>
        <w:textAlignment w:val="auto"/>
        <w:rPr>
          <w:rFonts w:hint="eastAsia" w:ascii="仿宋_GB2312" w:hAnsi="仿宋" w:eastAsia="仿宋_GB2312" w:cs="仿宋_GB2312"/>
          <w:sz w:val="32"/>
          <w:szCs w:val="44"/>
          <w:highlight w:val="none"/>
        </w:rPr>
      </w:pPr>
      <w:r>
        <w:rPr>
          <w:rFonts w:hint="eastAsia" w:ascii="仿宋_GB2312" w:hAnsi="仿宋" w:eastAsia="仿宋_GB2312" w:cs="仿宋_GB2312"/>
          <w:sz w:val="32"/>
          <w:szCs w:val="44"/>
          <w:highlight w:val="none"/>
        </w:rPr>
        <w:t>按现有十六大类商品开展展位申请，分别为：电子及家电、照明、车辆及配件、机械、五金工具、建材、化工产品、新能源、日用消费品、礼品、家居装饰品、纺织服装、鞋、办公箱包及休闲用品、医药及医疗保健、食品。</w:t>
      </w:r>
    </w:p>
    <w:p>
      <w:pPr>
        <w:spacing w:line="24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三、展位申请起止时间</w:t>
      </w:r>
    </w:p>
    <w:p>
      <w:pPr>
        <w:keepNext w:val="0"/>
        <w:keepLines w:val="0"/>
        <w:pageBreakBefore w:val="0"/>
        <w:widowControl w:val="0"/>
        <w:kinsoku/>
        <w:overflowPunct/>
        <w:topLinePunct w:val="0"/>
        <w:autoSpaceDE/>
        <w:autoSpaceDN/>
        <w:bidi w:val="0"/>
        <w:spacing w:line="240" w:lineRule="auto"/>
        <w:ind w:firstLine="640" w:firstLineChars="200"/>
        <w:jc w:val="left"/>
        <w:textAlignment w:val="auto"/>
        <w:rPr>
          <w:rFonts w:hint="eastAsia" w:ascii="仿宋_GB2312" w:hAnsi="仿宋" w:eastAsia="仿宋_GB2312" w:cs="仿宋_GB2312"/>
          <w:sz w:val="32"/>
          <w:szCs w:val="44"/>
          <w:highlight w:val="none"/>
          <w:lang w:val="en-US" w:eastAsia="zh-CN"/>
        </w:rPr>
      </w:pPr>
      <w:r>
        <w:rPr>
          <w:rFonts w:hint="eastAsia" w:ascii="仿宋_GB2312" w:hAnsi="仿宋" w:eastAsia="仿宋_GB2312" w:cs="仿宋_GB2312"/>
          <w:sz w:val="32"/>
          <w:szCs w:val="44"/>
          <w:highlight w:val="none"/>
        </w:rPr>
        <w:t>品牌展位确认申请</w:t>
      </w:r>
      <w:r>
        <w:rPr>
          <w:rFonts w:hint="eastAsia" w:ascii="仿宋_GB2312" w:hAnsi="仿宋" w:eastAsia="仿宋_GB2312" w:cs="仿宋_GB2312"/>
          <w:sz w:val="32"/>
          <w:szCs w:val="44"/>
          <w:highlight w:val="none"/>
          <w:lang w:val="en-US" w:eastAsia="zh-CN"/>
        </w:rPr>
        <w:t>:5月7日—5月30日</w:t>
      </w:r>
    </w:p>
    <w:p>
      <w:pPr>
        <w:keepNext w:val="0"/>
        <w:keepLines w:val="0"/>
        <w:pageBreakBefore w:val="0"/>
        <w:widowControl w:val="0"/>
        <w:kinsoku/>
        <w:overflowPunct/>
        <w:topLinePunct w:val="0"/>
        <w:autoSpaceDE/>
        <w:autoSpaceDN/>
        <w:bidi w:val="0"/>
        <w:spacing w:line="240" w:lineRule="auto"/>
        <w:ind w:firstLine="640" w:firstLineChars="200"/>
        <w:jc w:val="left"/>
        <w:textAlignment w:val="auto"/>
        <w:rPr>
          <w:rFonts w:hint="eastAsia" w:ascii="仿宋_GB2312" w:hAnsi="仿宋" w:eastAsia="仿宋_GB2312" w:cs="仿宋_GB2312"/>
          <w:sz w:val="32"/>
          <w:szCs w:val="44"/>
          <w:highlight w:val="none"/>
        </w:rPr>
      </w:pPr>
      <w:r>
        <w:rPr>
          <w:rFonts w:hint="eastAsia" w:ascii="仿宋_GB2312" w:hAnsi="仿宋" w:eastAsia="仿宋_GB2312" w:cs="仿宋_GB2312"/>
          <w:sz w:val="32"/>
          <w:szCs w:val="44"/>
          <w:highlight w:val="none"/>
        </w:rPr>
        <w:t>一般性展位</w:t>
      </w:r>
      <w:r>
        <w:rPr>
          <w:rFonts w:hint="eastAsia" w:ascii="仿宋_GB2312" w:hAnsi="仿宋" w:eastAsia="仿宋_GB2312" w:cs="仿宋_GB2312"/>
          <w:sz w:val="32"/>
          <w:szCs w:val="44"/>
          <w:highlight w:val="none"/>
          <w:lang w:eastAsia="zh-CN"/>
        </w:rPr>
        <w:t>（含新能源、宠物用品展位）</w:t>
      </w:r>
      <w:r>
        <w:rPr>
          <w:rFonts w:hint="eastAsia" w:ascii="仿宋_GB2312" w:hAnsi="仿宋" w:eastAsia="仿宋_GB2312" w:cs="仿宋_GB2312"/>
          <w:sz w:val="32"/>
          <w:szCs w:val="44"/>
          <w:highlight w:val="none"/>
        </w:rPr>
        <w:t>申请</w:t>
      </w:r>
      <w:r>
        <w:rPr>
          <w:rFonts w:hint="eastAsia" w:ascii="仿宋_GB2312" w:hAnsi="仿宋" w:eastAsia="仿宋_GB2312" w:cs="仿宋_GB2312"/>
          <w:sz w:val="32"/>
          <w:szCs w:val="44"/>
          <w:highlight w:val="none"/>
          <w:lang w:eastAsia="zh-CN"/>
        </w:rPr>
        <w:t>：</w:t>
      </w:r>
      <w:r>
        <w:rPr>
          <w:rFonts w:hint="eastAsia" w:ascii="仿宋_GB2312" w:hAnsi="仿宋" w:eastAsia="仿宋_GB2312" w:cs="仿宋_GB2312"/>
          <w:sz w:val="32"/>
          <w:szCs w:val="44"/>
          <w:highlight w:val="none"/>
          <w:lang w:val="en-US" w:eastAsia="zh-CN"/>
        </w:rPr>
        <w:t>5</w:t>
      </w:r>
      <w:r>
        <w:rPr>
          <w:rFonts w:hint="eastAsia" w:ascii="仿宋_GB2312" w:hAnsi="仿宋" w:eastAsia="仿宋_GB2312" w:cs="仿宋_GB2312"/>
          <w:sz w:val="32"/>
          <w:szCs w:val="44"/>
          <w:highlight w:val="none"/>
        </w:rPr>
        <w:t>月</w:t>
      </w:r>
      <w:r>
        <w:rPr>
          <w:rFonts w:hint="eastAsia" w:ascii="仿宋_GB2312" w:hAnsi="仿宋" w:eastAsia="仿宋_GB2312" w:cs="仿宋_GB2312"/>
          <w:sz w:val="32"/>
          <w:szCs w:val="44"/>
          <w:highlight w:val="none"/>
          <w:lang w:val="en-US" w:eastAsia="zh-CN"/>
        </w:rPr>
        <w:t>7</w:t>
      </w:r>
      <w:r>
        <w:rPr>
          <w:rFonts w:hint="eastAsia" w:ascii="仿宋_GB2312" w:hAnsi="仿宋" w:eastAsia="仿宋_GB2312" w:cs="仿宋_GB2312"/>
          <w:sz w:val="32"/>
          <w:szCs w:val="44"/>
          <w:highlight w:val="none"/>
        </w:rPr>
        <w:t>日—</w:t>
      </w:r>
      <w:r>
        <w:rPr>
          <w:rFonts w:hint="eastAsia" w:ascii="仿宋_GB2312" w:hAnsi="仿宋" w:eastAsia="仿宋_GB2312" w:cs="仿宋_GB2312"/>
          <w:sz w:val="32"/>
          <w:szCs w:val="44"/>
          <w:highlight w:val="none"/>
          <w:lang w:val="en-US" w:eastAsia="zh-CN"/>
        </w:rPr>
        <w:t>6</w:t>
      </w:r>
      <w:r>
        <w:rPr>
          <w:rFonts w:hint="eastAsia" w:ascii="仿宋_GB2312" w:hAnsi="仿宋" w:eastAsia="仿宋_GB2312" w:cs="仿宋_GB2312"/>
          <w:sz w:val="32"/>
          <w:szCs w:val="44"/>
          <w:highlight w:val="none"/>
        </w:rPr>
        <w:t>月</w:t>
      </w:r>
      <w:r>
        <w:rPr>
          <w:rFonts w:hint="eastAsia" w:ascii="仿宋_GB2312" w:hAnsi="仿宋" w:eastAsia="仿宋_GB2312" w:cs="仿宋_GB2312"/>
          <w:sz w:val="32"/>
          <w:szCs w:val="44"/>
          <w:highlight w:val="none"/>
          <w:lang w:val="en-US" w:eastAsia="zh-CN"/>
        </w:rPr>
        <w:t>1</w:t>
      </w:r>
      <w:r>
        <w:rPr>
          <w:rFonts w:hint="eastAsia" w:ascii="仿宋_GB2312" w:hAnsi="仿宋" w:eastAsia="仿宋_GB2312" w:cs="仿宋_GB2312"/>
          <w:sz w:val="32"/>
          <w:szCs w:val="44"/>
          <w:highlight w:val="none"/>
        </w:rPr>
        <w:t>0日</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四、展位申请流程</w:t>
      </w:r>
    </w:p>
    <w:p>
      <w:pPr>
        <w:spacing w:line="560" w:lineRule="exact"/>
        <w:ind w:firstLine="640" w:firstLineChars="200"/>
        <w:rPr>
          <w:rFonts w:hint="eastAsia" w:ascii="仿宋_GB2312" w:hAnsi="仿宋" w:eastAsia="仿宋_GB2312" w:cs="仿宋_GB2312"/>
          <w:sz w:val="32"/>
          <w:szCs w:val="44"/>
          <w:highlight w:val="none"/>
        </w:rPr>
      </w:pPr>
      <w:r>
        <w:rPr>
          <w:rFonts w:hint="eastAsia" w:ascii="仿宋_GB2312" w:hAnsi="仿宋" w:eastAsia="仿宋_GB2312" w:cs="仿宋_GB2312"/>
          <w:sz w:val="32"/>
          <w:szCs w:val="44"/>
          <w:highlight w:val="none"/>
        </w:rPr>
        <w:t>广交会出口展展位分为品牌展位和一般性展位。请登录广交会“参展易捷通”系统</w:t>
      </w:r>
      <w:r>
        <w:rPr>
          <w:rFonts w:ascii="Times New Roman" w:hAnsi="Times New Roman" w:eastAsia="仿宋_GB2312" w:cs="Times New Roman"/>
          <w:w w:val="98"/>
          <w:sz w:val="32"/>
          <w:szCs w:val="32"/>
        </w:rPr>
        <w:t>（</w:t>
      </w:r>
      <w:r>
        <w:fldChar w:fldCharType="begin"/>
      </w:r>
      <w:r>
        <w:instrText xml:space="preserve"> HYPERLINK "https://exhibitor.cantonfair.org.cn/" </w:instrText>
      </w:r>
      <w:r>
        <w:fldChar w:fldCharType="separate"/>
      </w:r>
      <w:r>
        <w:rPr>
          <w:rStyle w:val="21"/>
          <w:rFonts w:ascii="Times New Roman" w:hAnsi="Times New Roman" w:eastAsia="仿宋_GB2312" w:cs="Times New Roman"/>
          <w:color w:val="auto"/>
          <w:w w:val="98"/>
          <w:sz w:val="32"/>
          <w:szCs w:val="32"/>
          <w:u w:val="none"/>
        </w:rPr>
        <w:t>https://exhibitor.cantonfair.org.cn/</w:t>
      </w:r>
      <w:r>
        <w:rPr>
          <w:rStyle w:val="21"/>
          <w:rFonts w:ascii="Times New Roman" w:hAnsi="Times New Roman" w:eastAsia="仿宋_GB2312" w:cs="Times New Roman"/>
          <w:color w:val="auto"/>
          <w:w w:val="98"/>
          <w:sz w:val="32"/>
          <w:szCs w:val="32"/>
          <w:u w:val="none"/>
        </w:rPr>
        <w:fldChar w:fldCharType="end"/>
      </w:r>
      <w:r>
        <w:rPr>
          <w:rFonts w:ascii="Times New Roman" w:hAnsi="Times New Roman" w:eastAsia="仿宋_GB2312" w:cs="Times New Roman"/>
          <w:w w:val="98"/>
          <w:sz w:val="32"/>
          <w:szCs w:val="32"/>
        </w:rPr>
        <w:t>），</w:t>
      </w:r>
      <w:r>
        <w:rPr>
          <w:rFonts w:hint="eastAsia" w:ascii="仿宋_GB2312" w:hAnsi="仿宋" w:eastAsia="仿宋_GB2312" w:cs="仿宋_GB2312"/>
          <w:sz w:val="32"/>
          <w:szCs w:val="44"/>
          <w:highlight w:val="none"/>
        </w:rPr>
        <w:t>登记、确认公司及展品信息，进行展位申请。完成网上申请登记后，请打印“第13</w:t>
      </w:r>
      <w:r>
        <w:rPr>
          <w:rFonts w:hint="eastAsia" w:ascii="仿宋_GB2312" w:hAnsi="仿宋" w:eastAsia="仿宋_GB2312" w:cs="仿宋_GB2312"/>
          <w:sz w:val="32"/>
          <w:szCs w:val="44"/>
          <w:highlight w:val="none"/>
          <w:lang w:val="en-US" w:eastAsia="zh-CN"/>
        </w:rPr>
        <w:t>2</w:t>
      </w:r>
      <w:r>
        <w:rPr>
          <w:rFonts w:hint="eastAsia" w:ascii="仿宋_GB2312" w:hAnsi="仿宋" w:eastAsia="仿宋_GB2312" w:cs="仿宋_GB2312"/>
          <w:sz w:val="32"/>
          <w:szCs w:val="44"/>
          <w:highlight w:val="none"/>
        </w:rPr>
        <w:t>届广交会出口展参展申请表”(一式两份)，加盖企业公章，连同其它需报送的资料一并上报我局</w:t>
      </w:r>
      <w:r>
        <w:rPr>
          <w:rFonts w:hint="eastAsia" w:ascii="仿宋_GB2312" w:hAnsi="仿宋" w:eastAsia="仿宋_GB2312" w:cs="仿宋_GB2312"/>
          <w:sz w:val="32"/>
          <w:szCs w:val="44"/>
          <w:highlight w:val="none"/>
          <w:lang w:val="en-US" w:eastAsia="zh-CN"/>
        </w:rPr>
        <w:t>7楼综合科</w:t>
      </w:r>
      <w:r>
        <w:rPr>
          <w:rFonts w:hint="eastAsia" w:ascii="仿宋_GB2312" w:hAnsi="仿宋" w:eastAsia="仿宋_GB2312" w:cs="仿宋_GB2312"/>
          <w:sz w:val="32"/>
          <w:szCs w:val="44"/>
          <w:highlight w:val="none"/>
        </w:rPr>
        <w:t>。</w:t>
      </w:r>
    </w:p>
    <w:p>
      <w:pPr>
        <w:numPr>
          <w:ilvl w:val="0"/>
          <w:numId w:val="2"/>
        </w:numPr>
        <w:spacing w:line="560" w:lineRule="exact"/>
        <w:ind w:firstLine="640" w:firstLineChars="200"/>
        <w:outlineLvl w:val="0"/>
        <w:rPr>
          <w:rFonts w:ascii="Times New Roman" w:hAnsi="Times New Roman" w:eastAsia="楷体_GB2312" w:cs="Times New Roman"/>
          <w:b w:val="0"/>
          <w:bCs/>
          <w:sz w:val="32"/>
          <w:szCs w:val="32"/>
        </w:rPr>
      </w:pPr>
      <w:r>
        <w:rPr>
          <w:rFonts w:ascii="Times New Roman" w:hAnsi="Times New Roman" w:eastAsia="楷体_GB2312" w:cs="Times New Roman"/>
          <w:b w:val="0"/>
          <w:bCs/>
          <w:sz w:val="32"/>
          <w:szCs w:val="32"/>
        </w:rPr>
        <w:t>品牌展位</w:t>
      </w:r>
    </w:p>
    <w:p>
      <w:pPr>
        <w:spacing w:line="560" w:lineRule="exact"/>
        <w:ind w:firstLine="640" w:firstLineChars="200"/>
        <w:rPr>
          <w:rFonts w:hint="eastAsia" w:ascii="仿宋_GB2312" w:hAnsi="仿宋" w:eastAsia="仿宋_GB2312" w:cs="仿宋_GB2312"/>
          <w:sz w:val="32"/>
          <w:szCs w:val="44"/>
          <w:highlight w:val="none"/>
          <w:lang w:val="en-US" w:eastAsia="zh-CN"/>
        </w:rPr>
      </w:pPr>
      <w:r>
        <w:rPr>
          <w:rFonts w:hint="eastAsia" w:ascii="仿宋_GB2312" w:hAnsi="仿宋" w:eastAsia="仿宋_GB2312" w:cs="仿宋_GB2312"/>
          <w:sz w:val="32"/>
          <w:szCs w:val="44"/>
          <w:highlight w:val="none"/>
        </w:rPr>
        <w:t>第13</w:t>
      </w:r>
      <w:r>
        <w:rPr>
          <w:rFonts w:hint="eastAsia" w:ascii="仿宋_GB2312" w:hAnsi="仿宋" w:eastAsia="仿宋_GB2312" w:cs="仿宋_GB2312"/>
          <w:sz w:val="32"/>
          <w:szCs w:val="44"/>
          <w:highlight w:val="none"/>
          <w:lang w:val="en-US" w:eastAsia="zh-CN"/>
        </w:rPr>
        <w:t>1</w:t>
      </w:r>
      <w:r>
        <w:rPr>
          <w:rFonts w:hint="eastAsia" w:ascii="仿宋_GB2312" w:hAnsi="仿宋" w:eastAsia="仿宋_GB2312" w:cs="仿宋_GB2312"/>
          <w:sz w:val="32"/>
          <w:szCs w:val="44"/>
          <w:highlight w:val="none"/>
        </w:rPr>
        <w:t>届广交会品牌企业请按原品牌展位的对应展区与数量</w:t>
      </w:r>
      <w:r>
        <w:rPr>
          <w:rFonts w:hint="eastAsia" w:ascii="仿宋_GB2312" w:hAnsi="仿宋" w:eastAsia="仿宋_GB2312" w:cs="仿宋_GB2312"/>
          <w:sz w:val="32"/>
          <w:szCs w:val="44"/>
          <w:highlight w:val="none"/>
          <w:lang w:eastAsia="zh-CN"/>
        </w:rPr>
        <w:t>（可在申请界面查看）</w:t>
      </w:r>
      <w:r>
        <w:rPr>
          <w:rFonts w:hint="eastAsia" w:ascii="仿宋_GB2312" w:hAnsi="仿宋" w:eastAsia="仿宋_GB2312" w:cs="仿宋_GB2312"/>
          <w:sz w:val="32"/>
          <w:szCs w:val="44"/>
          <w:highlight w:val="none"/>
        </w:rPr>
        <w:t>，确认第13</w:t>
      </w:r>
      <w:r>
        <w:rPr>
          <w:rFonts w:hint="eastAsia" w:ascii="仿宋_GB2312" w:hAnsi="仿宋" w:eastAsia="仿宋_GB2312" w:cs="仿宋_GB2312"/>
          <w:sz w:val="32"/>
          <w:szCs w:val="44"/>
          <w:highlight w:val="none"/>
          <w:lang w:val="en-US" w:eastAsia="zh-CN"/>
        </w:rPr>
        <w:t>2</w:t>
      </w:r>
      <w:r>
        <w:rPr>
          <w:rFonts w:hint="eastAsia" w:ascii="仿宋_GB2312" w:hAnsi="仿宋" w:eastAsia="仿宋_GB2312" w:cs="仿宋_GB2312"/>
          <w:sz w:val="32"/>
          <w:szCs w:val="44"/>
          <w:highlight w:val="none"/>
        </w:rPr>
        <w:t>届广交会品牌展位申请</w:t>
      </w:r>
      <w:r>
        <w:rPr>
          <w:rFonts w:hint="eastAsia" w:ascii="仿宋_GB2312" w:hAnsi="仿宋" w:eastAsia="仿宋_GB2312" w:cs="仿宋_GB2312"/>
          <w:sz w:val="32"/>
          <w:szCs w:val="44"/>
          <w:highlight w:val="none"/>
          <w:lang w:eastAsia="zh-CN"/>
        </w:rPr>
        <w:t>。一旦确认申请参展，企业需接受在线上展和线下展同步参展。第</w:t>
      </w:r>
      <w:r>
        <w:rPr>
          <w:rFonts w:hint="eastAsia" w:ascii="仿宋_GB2312" w:hAnsi="仿宋" w:eastAsia="仿宋_GB2312" w:cs="仿宋_GB2312"/>
          <w:sz w:val="32"/>
          <w:szCs w:val="44"/>
          <w:highlight w:val="none"/>
          <w:lang w:val="en-US" w:eastAsia="zh-CN"/>
        </w:rPr>
        <w:t>132届广交会仅对企业自愿申请退回和大会收回的品牌展位进行调整安排。</w:t>
      </w:r>
    </w:p>
    <w:p>
      <w:pPr>
        <w:spacing w:line="560" w:lineRule="exact"/>
        <w:ind w:firstLine="640" w:firstLineChars="200"/>
        <w:rPr>
          <w:rFonts w:hint="eastAsia" w:ascii="仿宋_GB2312" w:hAnsi="仿宋" w:eastAsia="仿宋_GB2312" w:cs="仿宋_GB2312"/>
          <w:sz w:val="32"/>
          <w:szCs w:val="44"/>
          <w:highlight w:val="none"/>
        </w:rPr>
      </w:pPr>
      <w:r>
        <w:rPr>
          <w:rFonts w:hint="eastAsia" w:ascii="仿宋_GB2312" w:hAnsi="仿宋" w:eastAsia="仿宋_GB2312" w:cs="仿宋_GB2312"/>
          <w:sz w:val="32"/>
          <w:szCs w:val="44"/>
          <w:highlight w:val="none"/>
          <w:lang w:val="en-US" w:eastAsia="zh-CN"/>
        </w:rPr>
        <w:t>如确认按原对应展区与数量申请品牌展位，请</w:t>
      </w:r>
      <w:r>
        <w:rPr>
          <w:rFonts w:hint="eastAsia" w:ascii="仿宋_GB2312" w:hAnsi="仿宋" w:eastAsia="仿宋_GB2312" w:cs="仿宋_GB2312"/>
          <w:sz w:val="32"/>
          <w:szCs w:val="44"/>
          <w:highlight w:val="none"/>
        </w:rPr>
        <w:t>打印参展申请表（路径：展位申请——我的展位申请——品牌展位确认申请）</w:t>
      </w:r>
      <w:r>
        <w:rPr>
          <w:rFonts w:hint="eastAsia" w:ascii="仿宋_GB2312" w:hAnsi="仿宋" w:eastAsia="仿宋_GB2312" w:cs="仿宋_GB2312"/>
          <w:sz w:val="32"/>
          <w:szCs w:val="44"/>
          <w:highlight w:val="none"/>
          <w:lang w:eastAsia="zh-CN"/>
        </w:rPr>
        <w:t>并</w:t>
      </w:r>
      <w:r>
        <w:rPr>
          <w:rFonts w:hint="eastAsia" w:ascii="仿宋_GB2312" w:hAnsi="仿宋" w:eastAsia="仿宋_GB2312" w:cs="仿宋_GB2312"/>
          <w:sz w:val="32"/>
          <w:szCs w:val="44"/>
          <w:highlight w:val="none"/>
        </w:rPr>
        <w:t>加盖公章后报</w:t>
      </w:r>
      <w:r>
        <w:rPr>
          <w:rFonts w:hint="eastAsia" w:ascii="仿宋_GB2312" w:hAnsi="仿宋" w:eastAsia="仿宋_GB2312" w:cs="仿宋_GB2312"/>
          <w:sz w:val="32"/>
          <w:szCs w:val="44"/>
          <w:highlight w:val="none"/>
          <w:lang w:eastAsia="zh-CN"/>
        </w:rPr>
        <w:t>我局。</w:t>
      </w:r>
      <w:r>
        <w:rPr>
          <w:rFonts w:hint="eastAsia" w:ascii="仿宋_GB2312" w:hAnsi="仿宋" w:eastAsia="仿宋_GB2312" w:cs="仿宋_GB2312"/>
          <w:sz w:val="32"/>
          <w:szCs w:val="44"/>
          <w:highlight w:val="none"/>
        </w:rPr>
        <w:t>如确认退回全部或部分品牌展位，请同步书面提交加盖公章的退展位申请（确认申请时系统自动生成）报</w:t>
      </w:r>
      <w:r>
        <w:rPr>
          <w:rFonts w:hint="eastAsia" w:ascii="仿宋_GB2312" w:hAnsi="仿宋" w:eastAsia="仿宋_GB2312" w:cs="仿宋_GB2312"/>
          <w:sz w:val="32"/>
          <w:szCs w:val="44"/>
          <w:highlight w:val="none"/>
          <w:lang w:eastAsia="zh-CN"/>
        </w:rPr>
        <w:t>我局</w:t>
      </w:r>
      <w:r>
        <w:rPr>
          <w:rFonts w:hint="eastAsia" w:ascii="仿宋_GB2312" w:hAnsi="仿宋" w:eastAsia="仿宋_GB2312" w:cs="仿宋_GB2312"/>
          <w:sz w:val="32"/>
          <w:szCs w:val="44"/>
          <w:highlight w:val="none"/>
        </w:rPr>
        <w:t>。逾期未确认的视为放弃品牌展位。</w:t>
      </w:r>
      <w:r>
        <w:rPr>
          <w:rFonts w:hint="eastAsia" w:ascii="仿宋_GB2312" w:hAnsi="仿宋" w:eastAsia="仿宋_GB2312" w:cs="仿宋_GB2312"/>
          <w:sz w:val="32"/>
          <w:szCs w:val="44"/>
          <w:highlight w:val="none"/>
          <w:lang w:eastAsia="zh-CN"/>
        </w:rPr>
        <w:t>如需增加展位，请在对应展区申请一般性展位，届时将在品牌展位粘连一般性展位安排中予以优先考虑。</w:t>
      </w:r>
    </w:p>
    <w:p>
      <w:pPr>
        <w:spacing w:line="560" w:lineRule="exact"/>
        <w:ind w:firstLine="640" w:firstLineChars="200"/>
        <w:rPr>
          <w:rFonts w:hint="eastAsia" w:ascii="仿宋_GB2312" w:hAnsi="仿宋" w:eastAsia="仿宋_GB2312" w:cs="仿宋_GB2312"/>
          <w:sz w:val="32"/>
          <w:szCs w:val="44"/>
          <w:highlight w:val="none"/>
          <w:lang w:eastAsia="zh-CN"/>
        </w:rPr>
      </w:pPr>
      <w:r>
        <w:rPr>
          <w:rFonts w:hint="eastAsia" w:ascii="仿宋_GB2312" w:hAnsi="仿宋" w:eastAsia="仿宋_GB2312" w:cs="仿宋_GB2312"/>
          <w:sz w:val="32"/>
          <w:szCs w:val="44"/>
          <w:highlight w:val="none"/>
        </w:rPr>
        <w:t>根据广交会品牌展位动态调整机制，非品牌企业可随时向所属交易团书面提交、补充或更新品牌展位申请材料，按评审得分递补至品牌展位候选企业名单。</w:t>
      </w:r>
      <w:r>
        <w:rPr>
          <w:rFonts w:hint="eastAsia" w:ascii="仿宋_GB2312" w:hAnsi="仿宋" w:eastAsia="仿宋_GB2312" w:cs="仿宋_GB2312"/>
          <w:sz w:val="32"/>
          <w:szCs w:val="44"/>
          <w:highlight w:val="none"/>
          <w:lang w:eastAsia="zh-CN"/>
        </w:rPr>
        <w:t>（详见附件</w:t>
      </w:r>
      <w:r>
        <w:rPr>
          <w:rFonts w:hint="eastAsia" w:ascii="仿宋_GB2312" w:hAnsi="仿宋" w:eastAsia="仿宋_GB2312" w:cs="仿宋_GB2312"/>
          <w:sz w:val="32"/>
          <w:szCs w:val="44"/>
          <w:highlight w:val="none"/>
          <w:lang w:val="en-US" w:eastAsia="zh-CN"/>
        </w:rPr>
        <w:t>1</w:t>
      </w:r>
      <w:r>
        <w:rPr>
          <w:rFonts w:hint="eastAsia" w:ascii="仿宋_GB2312" w:hAnsi="仿宋" w:eastAsia="仿宋_GB2312" w:cs="仿宋_GB2312"/>
          <w:sz w:val="32"/>
          <w:szCs w:val="44"/>
          <w:highlight w:val="none"/>
          <w:lang w:eastAsia="zh-CN"/>
        </w:rPr>
        <w:t>）</w:t>
      </w:r>
    </w:p>
    <w:p>
      <w:pPr>
        <w:spacing w:line="560" w:lineRule="exact"/>
        <w:ind w:firstLine="643" w:firstLineChars="200"/>
        <w:outlineLvl w:val="0"/>
        <w:rPr>
          <w:rFonts w:ascii="Times New Roman" w:hAnsi="Times New Roman" w:eastAsia="楷体_GB2312" w:cs="Times New Roman"/>
          <w:b/>
          <w:sz w:val="32"/>
          <w:szCs w:val="32"/>
        </w:rPr>
      </w:pPr>
    </w:p>
    <w:p>
      <w:pPr>
        <w:spacing w:line="560" w:lineRule="exact"/>
        <w:ind w:firstLine="640" w:firstLineChars="200"/>
        <w:outlineLvl w:val="0"/>
        <w:rPr>
          <w:rFonts w:ascii="Times New Roman" w:hAnsi="Times New Roman" w:eastAsia="楷体_GB2312" w:cs="Times New Roman"/>
          <w:b/>
          <w:sz w:val="32"/>
          <w:szCs w:val="32"/>
        </w:rPr>
      </w:pPr>
      <w:r>
        <w:rPr>
          <w:rFonts w:ascii="Times New Roman" w:hAnsi="Times New Roman" w:eastAsia="楷体_GB2312" w:cs="Times New Roman"/>
          <w:b w:val="0"/>
          <w:bCs/>
          <w:sz w:val="32"/>
          <w:szCs w:val="32"/>
        </w:rPr>
        <w:t>（二）一般性展位</w:t>
      </w:r>
    </w:p>
    <w:p>
      <w:pPr>
        <w:spacing w:line="560" w:lineRule="exact"/>
        <w:ind w:firstLine="640" w:firstLineChars="200"/>
        <w:outlineLvl w:val="0"/>
        <w:rPr>
          <w:rFonts w:hint="eastAsia" w:ascii="仿宋_GB2312" w:hAnsi="仿宋" w:eastAsia="仿宋_GB2312" w:cs="仿宋_GB2312"/>
          <w:sz w:val="32"/>
          <w:szCs w:val="44"/>
          <w:highlight w:val="none"/>
        </w:rPr>
      </w:pPr>
      <w:r>
        <w:rPr>
          <w:rFonts w:hint="eastAsia" w:ascii="仿宋_GB2312" w:hAnsi="仿宋" w:eastAsia="仿宋_GB2312" w:cs="仿宋_GB2312"/>
          <w:sz w:val="32"/>
          <w:szCs w:val="44"/>
          <w:highlight w:val="none"/>
          <w:lang w:eastAsia="zh-CN"/>
        </w:rPr>
        <w:t>有意参加第</w:t>
      </w:r>
      <w:r>
        <w:rPr>
          <w:rFonts w:hint="eastAsia" w:ascii="仿宋_GB2312" w:hAnsi="仿宋" w:eastAsia="仿宋_GB2312" w:cs="仿宋_GB2312"/>
          <w:sz w:val="32"/>
          <w:szCs w:val="44"/>
          <w:highlight w:val="none"/>
          <w:lang w:val="en-US" w:eastAsia="zh-CN"/>
        </w:rPr>
        <w:t>132届广交会线上展或线下展的企业均可申请。</w:t>
      </w:r>
      <w:r>
        <w:rPr>
          <w:rFonts w:hint="eastAsia" w:ascii="仿宋_GB2312" w:hAnsi="仿宋" w:eastAsia="仿宋_GB2312" w:cs="仿宋_GB2312"/>
          <w:sz w:val="32"/>
          <w:szCs w:val="44"/>
          <w:highlight w:val="none"/>
          <w:lang w:eastAsia="zh-CN"/>
        </w:rPr>
        <w:t>请符合广交会参展资格的企业（参展资格标准详见附件</w:t>
      </w:r>
      <w:r>
        <w:rPr>
          <w:rFonts w:hint="eastAsia" w:ascii="仿宋_GB2312" w:hAnsi="仿宋" w:eastAsia="仿宋_GB2312" w:cs="仿宋_GB2312"/>
          <w:sz w:val="32"/>
          <w:szCs w:val="44"/>
          <w:highlight w:val="none"/>
          <w:lang w:val="en-US" w:eastAsia="zh-CN"/>
        </w:rPr>
        <w:t>2</w:t>
      </w:r>
      <w:r>
        <w:rPr>
          <w:rFonts w:hint="eastAsia" w:ascii="仿宋_GB2312" w:hAnsi="仿宋" w:eastAsia="仿宋_GB2312" w:cs="仿宋_GB2312"/>
          <w:sz w:val="32"/>
          <w:szCs w:val="44"/>
          <w:highlight w:val="none"/>
          <w:lang w:eastAsia="zh-CN"/>
        </w:rPr>
        <w:t>），按展品</w:t>
      </w:r>
      <w:r>
        <w:rPr>
          <w:rFonts w:hint="eastAsia" w:ascii="仿宋_GB2312" w:hAnsi="仿宋" w:eastAsia="仿宋_GB2312" w:cs="仿宋_GB2312"/>
          <w:sz w:val="32"/>
          <w:szCs w:val="44"/>
          <w:highlight w:val="none"/>
        </w:rPr>
        <w:t>目录在线填报对应展区展位申请信息，打印参展申请表（路径：展位申请——我的展位申请——一般性展位申请）并加盖公章后，</w:t>
      </w:r>
      <w:r>
        <w:rPr>
          <w:rFonts w:hint="eastAsia" w:ascii="仿宋_GB2312" w:hAnsi="仿宋" w:eastAsia="仿宋_GB2312" w:cs="仿宋_GB2312"/>
          <w:sz w:val="32"/>
          <w:szCs w:val="44"/>
          <w:highlight w:val="none"/>
          <w:lang w:eastAsia="zh-CN"/>
        </w:rPr>
        <w:t>连同企业营业执照、对</w:t>
      </w:r>
      <w:r>
        <w:rPr>
          <w:rFonts w:hint="eastAsia" w:ascii="仿宋_GB2312" w:hAnsi="仿宋" w:eastAsia="仿宋_GB2312" w:cs="仿宋_GB2312"/>
          <w:sz w:val="32"/>
          <w:szCs w:val="44"/>
          <w:highlight w:val="none"/>
        </w:rPr>
        <w:t>外贸经营者备案登记</w:t>
      </w:r>
      <w:r>
        <w:rPr>
          <w:rFonts w:hint="eastAsia" w:ascii="仿宋_GB2312" w:hAnsi="仿宋" w:eastAsia="仿宋_GB2312" w:cs="仿宋_GB2312"/>
          <w:sz w:val="32"/>
          <w:szCs w:val="44"/>
          <w:highlight w:val="none"/>
          <w:lang w:eastAsia="zh-CN"/>
        </w:rPr>
        <w:t>表（如有联营单位的提供联营单位营业执照、增值税发票、供货协议）等</w:t>
      </w:r>
      <w:r>
        <w:rPr>
          <w:rFonts w:hint="eastAsia" w:ascii="仿宋_GB2312" w:hAnsi="仿宋" w:eastAsia="仿宋_GB2312" w:cs="仿宋_GB2312"/>
          <w:sz w:val="32"/>
          <w:szCs w:val="44"/>
          <w:highlight w:val="none"/>
        </w:rPr>
        <w:t>材料</w:t>
      </w:r>
      <w:r>
        <w:rPr>
          <w:rFonts w:hint="eastAsia" w:ascii="仿宋_GB2312" w:hAnsi="仿宋" w:eastAsia="仿宋_GB2312" w:cs="仿宋_GB2312"/>
          <w:sz w:val="32"/>
          <w:szCs w:val="44"/>
          <w:highlight w:val="none"/>
          <w:lang w:eastAsia="zh-CN"/>
        </w:rPr>
        <w:t>一并报我局</w:t>
      </w:r>
      <w:r>
        <w:rPr>
          <w:rFonts w:hint="eastAsia" w:ascii="仿宋_GB2312" w:hAnsi="仿宋" w:eastAsia="仿宋_GB2312" w:cs="仿宋_GB2312"/>
          <w:sz w:val="32"/>
          <w:szCs w:val="44"/>
          <w:highlight w:val="none"/>
        </w:rPr>
        <w:t xml:space="preserve">后，参展申请方正式生效。 </w:t>
      </w:r>
    </w:p>
    <w:p>
      <w:pPr>
        <w:spacing w:line="560" w:lineRule="exact"/>
        <w:ind w:firstLine="640" w:firstLineChars="200"/>
        <w:outlineLvl w:val="0"/>
        <w:rPr>
          <w:rFonts w:ascii="Times New Roman" w:hAnsi="Times New Roman" w:eastAsia="楷体_GB2312" w:cs="Times New Roman"/>
          <w:b w:val="0"/>
          <w:bCs/>
          <w:sz w:val="32"/>
          <w:szCs w:val="32"/>
        </w:rPr>
      </w:pPr>
      <w:r>
        <w:rPr>
          <w:rFonts w:ascii="Times New Roman" w:hAnsi="Times New Roman" w:eastAsia="楷体_GB2312" w:cs="Times New Roman"/>
          <w:b w:val="0"/>
          <w:bCs/>
          <w:sz w:val="32"/>
          <w:szCs w:val="32"/>
        </w:rPr>
        <w:t>（三）新能源、宠物用品展位</w:t>
      </w:r>
    </w:p>
    <w:p>
      <w:pPr>
        <w:spacing w:line="560" w:lineRule="exact"/>
        <w:ind w:firstLine="640" w:firstLineChars="200"/>
        <w:outlineLvl w:val="0"/>
        <w:rPr>
          <w:rFonts w:hint="eastAsia" w:ascii="仿宋_GB2312" w:hAnsi="仿宋" w:eastAsia="仿宋_GB2312" w:cs="仿宋_GB2312"/>
          <w:sz w:val="32"/>
          <w:szCs w:val="44"/>
          <w:highlight w:val="none"/>
          <w:lang w:eastAsia="zh-CN"/>
        </w:rPr>
      </w:pPr>
      <w:r>
        <w:rPr>
          <w:rFonts w:hint="eastAsia" w:ascii="仿宋_GB2312" w:hAnsi="仿宋" w:eastAsia="仿宋_GB2312" w:cs="仿宋_GB2312"/>
          <w:sz w:val="32"/>
          <w:szCs w:val="44"/>
          <w:highlight w:val="none"/>
          <w:lang w:eastAsia="zh-CN"/>
        </w:rPr>
        <w:t>第</w:t>
      </w:r>
      <w:r>
        <w:rPr>
          <w:rFonts w:hint="eastAsia" w:ascii="仿宋_GB2312" w:hAnsi="仿宋" w:eastAsia="仿宋_GB2312" w:cs="仿宋_GB2312"/>
          <w:sz w:val="32"/>
          <w:szCs w:val="44"/>
          <w:highlight w:val="none"/>
          <w:lang w:val="en-US" w:eastAsia="zh-CN"/>
        </w:rPr>
        <w:t>132届广交会将对新能源、宠物用品展区申请企业进行全面评审，并对展位数量进行重新安排，展位安排原则上一定两届。</w:t>
      </w:r>
      <w:r>
        <w:rPr>
          <w:rFonts w:hint="eastAsia" w:ascii="仿宋_GB2312" w:hAnsi="仿宋" w:eastAsia="仿宋_GB2312" w:cs="仿宋_GB2312"/>
          <w:sz w:val="32"/>
          <w:szCs w:val="44"/>
          <w:highlight w:val="none"/>
          <w:lang w:eastAsia="zh-CN"/>
        </w:rPr>
        <w:t>有意参展且符合广交会新能源、宠物用品展区展位使用条件的企业，请根据“参展易捷通”系统填报步骤，登记确认公司及展品信息，在线提交有关申请材料，按展品目录提交对应展区展位申请，打印参展申请表（路径：展位申请——我的展位申请——一般性展位申请）并加盖公章后，与国内销售额证明一并报我局审核。除国内销售额证明和参展申请表外，其他申请材料均以线上提交为准（详见附件</w:t>
      </w:r>
      <w:r>
        <w:rPr>
          <w:rFonts w:hint="eastAsia" w:ascii="仿宋_GB2312" w:hAnsi="仿宋" w:eastAsia="仿宋_GB2312" w:cs="仿宋_GB2312"/>
          <w:sz w:val="32"/>
          <w:szCs w:val="44"/>
          <w:highlight w:val="none"/>
          <w:lang w:val="en-US" w:eastAsia="zh-CN"/>
        </w:rPr>
        <w:t>3）</w:t>
      </w:r>
      <w:r>
        <w:rPr>
          <w:rFonts w:hint="eastAsia" w:ascii="仿宋_GB2312" w:hAnsi="仿宋" w:eastAsia="仿宋_GB2312" w:cs="仿宋_GB2312"/>
          <w:sz w:val="32"/>
          <w:szCs w:val="44"/>
          <w:highlight w:val="none"/>
          <w:lang w:eastAsia="zh-CN"/>
        </w:rPr>
        <w:t>。</w:t>
      </w:r>
    </w:p>
    <w:p>
      <w:pPr>
        <w:spacing w:line="56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五、需提交</w:t>
      </w:r>
      <w:r>
        <w:rPr>
          <w:rFonts w:hint="eastAsia" w:ascii="Times New Roman" w:hAnsi="Times New Roman" w:eastAsia="黑体" w:cs="Times New Roman"/>
          <w:color w:val="000000"/>
          <w:kern w:val="0"/>
          <w:sz w:val="32"/>
          <w:szCs w:val="32"/>
        </w:rPr>
        <w:t>的</w:t>
      </w:r>
      <w:r>
        <w:rPr>
          <w:rFonts w:ascii="Times New Roman" w:hAnsi="Times New Roman" w:eastAsia="黑体" w:cs="Times New Roman"/>
          <w:color w:val="000000"/>
          <w:kern w:val="0"/>
          <w:sz w:val="32"/>
          <w:szCs w:val="32"/>
        </w:rPr>
        <w:t>资料</w:t>
      </w:r>
      <w:r>
        <w:rPr>
          <w:rFonts w:hint="eastAsia" w:ascii="Times New Roman" w:hAnsi="Times New Roman" w:eastAsia="黑体" w:cs="Times New Roman"/>
          <w:color w:val="000000"/>
          <w:kern w:val="0"/>
          <w:sz w:val="32"/>
          <w:szCs w:val="32"/>
        </w:rPr>
        <w:t>（</w:t>
      </w:r>
      <w:r>
        <w:rPr>
          <w:rFonts w:ascii="Times New Roman" w:hAnsi="Times New Roman" w:eastAsia="黑体" w:cs="Times New Roman"/>
          <w:color w:val="000000"/>
          <w:kern w:val="0"/>
          <w:sz w:val="32"/>
          <w:szCs w:val="32"/>
        </w:rPr>
        <w:t>复印件请加盖企业公章</w:t>
      </w:r>
      <w:r>
        <w:rPr>
          <w:rFonts w:hint="eastAsia" w:ascii="Times New Roman" w:hAnsi="Times New Roman" w:eastAsia="黑体" w:cs="Times New Roman"/>
          <w:color w:val="000000"/>
          <w:kern w:val="0"/>
          <w:sz w:val="32"/>
          <w:szCs w:val="32"/>
        </w:rPr>
        <w:t>）</w:t>
      </w:r>
    </w:p>
    <w:p>
      <w:pPr>
        <w:spacing w:line="560" w:lineRule="exact"/>
        <w:ind w:firstLine="640" w:firstLineChars="200"/>
        <w:rPr>
          <w:rFonts w:ascii="Times New Roman" w:hAnsi="Times New Roman" w:eastAsia="楷体" w:cs="Times New Roman"/>
          <w:b w:val="0"/>
          <w:bCs/>
          <w:sz w:val="32"/>
          <w:szCs w:val="32"/>
        </w:rPr>
      </w:pPr>
      <w:r>
        <w:rPr>
          <w:rFonts w:ascii="Times New Roman" w:hAnsi="Times New Roman" w:eastAsia="楷体" w:cs="Times New Roman"/>
          <w:b w:val="0"/>
          <w:bCs/>
          <w:sz w:val="32"/>
          <w:szCs w:val="32"/>
        </w:rPr>
        <w:t>（一）上届已安排展位的企业，需提交：</w:t>
      </w:r>
    </w:p>
    <w:p>
      <w:pPr>
        <w:spacing w:line="560" w:lineRule="exact"/>
        <w:ind w:firstLine="640" w:firstLineChars="200"/>
        <w:outlineLvl w:val="0"/>
        <w:rPr>
          <w:rFonts w:hint="eastAsia" w:ascii="仿宋_GB2312" w:hAnsi="仿宋" w:eastAsia="仿宋_GB2312" w:cs="仿宋_GB2312"/>
          <w:sz w:val="32"/>
          <w:szCs w:val="44"/>
          <w:highlight w:val="none"/>
          <w:lang w:eastAsia="zh-CN"/>
        </w:rPr>
      </w:pPr>
      <w:r>
        <w:rPr>
          <w:rFonts w:hint="eastAsia" w:ascii="仿宋_GB2312" w:hAnsi="仿宋" w:eastAsia="仿宋_GB2312" w:cs="仿宋_GB2312"/>
          <w:sz w:val="32"/>
          <w:szCs w:val="44"/>
          <w:highlight w:val="none"/>
          <w:lang w:eastAsia="zh-CN"/>
        </w:rPr>
        <w:t>1、第13</w:t>
      </w:r>
      <w:r>
        <w:rPr>
          <w:rFonts w:hint="eastAsia" w:ascii="仿宋_GB2312" w:hAnsi="仿宋" w:eastAsia="仿宋_GB2312" w:cs="仿宋_GB2312"/>
          <w:sz w:val="32"/>
          <w:szCs w:val="44"/>
          <w:highlight w:val="none"/>
          <w:lang w:val="en-US" w:eastAsia="zh-CN"/>
        </w:rPr>
        <w:t>2</w:t>
      </w:r>
      <w:r>
        <w:rPr>
          <w:rFonts w:hint="eastAsia" w:ascii="仿宋_GB2312" w:hAnsi="仿宋" w:eastAsia="仿宋_GB2312" w:cs="仿宋_GB2312"/>
          <w:sz w:val="32"/>
          <w:szCs w:val="44"/>
          <w:highlight w:val="none"/>
          <w:lang w:eastAsia="zh-CN"/>
        </w:rPr>
        <w:t>届广交会出口展参展申请表（一式两份）；</w:t>
      </w:r>
    </w:p>
    <w:p>
      <w:pPr>
        <w:spacing w:line="560" w:lineRule="exact"/>
        <w:ind w:firstLine="640" w:firstLineChars="200"/>
        <w:outlineLvl w:val="0"/>
        <w:rPr>
          <w:rFonts w:hint="eastAsia" w:ascii="仿宋_GB2312" w:hAnsi="仿宋" w:eastAsia="仿宋_GB2312" w:cs="仿宋_GB2312"/>
          <w:sz w:val="32"/>
          <w:szCs w:val="44"/>
          <w:highlight w:val="none"/>
          <w:lang w:eastAsia="zh-CN"/>
        </w:rPr>
      </w:pPr>
      <w:r>
        <w:rPr>
          <w:rFonts w:hint="eastAsia" w:ascii="仿宋_GB2312" w:hAnsi="仿宋" w:eastAsia="仿宋_GB2312" w:cs="仿宋_GB2312"/>
          <w:sz w:val="32"/>
          <w:szCs w:val="44"/>
          <w:highlight w:val="none"/>
          <w:lang w:eastAsia="zh-CN"/>
        </w:rPr>
        <w:t>2、有联营单位的提供联营单位营业执照、增值税发票、供货协议。</w:t>
      </w:r>
    </w:p>
    <w:p>
      <w:pPr>
        <w:spacing w:line="560" w:lineRule="exact"/>
        <w:ind w:firstLine="640" w:firstLineChars="200"/>
        <w:rPr>
          <w:rFonts w:ascii="Times New Roman" w:hAnsi="Times New Roman" w:eastAsia="楷体" w:cs="Times New Roman"/>
          <w:b w:val="0"/>
          <w:bCs/>
          <w:sz w:val="32"/>
          <w:szCs w:val="32"/>
        </w:rPr>
      </w:pPr>
      <w:r>
        <w:rPr>
          <w:rFonts w:ascii="Times New Roman" w:hAnsi="Times New Roman" w:eastAsia="楷体" w:cs="Times New Roman"/>
          <w:b w:val="0"/>
          <w:bCs/>
          <w:sz w:val="32"/>
          <w:szCs w:val="32"/>
        </w:rPr>
        <w:t>（二）新申请展位企业，需提交：</w:t>
      </w:r>
    </w:p>
    <w:p>
      <w:pPr>
        <w:spacing w:line="560" w:lineRule="exact"/>
        <w:ind w:firstLine="640" w:firstLineChars="200"/>
        <w:outlineLvl w:val="0"/>
        <w:rPr>
          <w:rFonts w:hint="eastAsia" w:ascii="仿宋_GB2312" w:hAnsi="仿宋" w:eastAsia="仿宋_GB2312" w:cs="仿宋_GB2312"/>
          <w:sz w:val="32"/>
          <w:szCs w:val="44"/>
          <w:highlight w:val="none"/>
          <w:lang w:eastAsia="zh-CN"/>
        </w:rPr>
      </w:pPr>
      <w:r>
        <w:rPr>
          <w:rFonts w:hint="eastAsia" w:ascii="仿宋_GB2312" w:hAnsi="仿宋" w:eastAsia="仿宋_GB2312" w:cs="仿宋_GB2312"/>
          <w:sz w:val="32"/>
          <w:szCs w:val="44"/>
          <w:highlight w:val="none"/>
          <w:lang w:eastAsia="zh-CN"/>
        </w:rPr>
        <w:t>1、第13</w:t>
      </w:r>
      <w:r>
        <w:rPr>
          <w:rFonts w:hint="eastAsia" w:ascii="仿宋_GB2312" w:hAnsi="仿宋" w:eastAsia="仿宋_GB2312" w:cs="仿宋_GB2312"/>
          <w:sz w:val="32"/>
          <w:szCs w:val="44"/>
          <w:highlight w:val="none"/>
          <w:lang w:val="en-US" w:eastAsia="zh-CN"/>
        </w:rPr>
        <w:t>2</w:t>
      </w:r>
      <w:r>
        <w:rPr>
          <w:rFonts w:hint="eastAsia" w:ascii="仿宋_GB2312" w:hAnsi="仿宋" w:eastAsia="仿宋_GB2312" w:cs="仿宋_GB2312"/>
          <w:sz w:val="32"/>
          <w:szCs w:val="44"/>
          <w:highlight w:val="none"/>
          <w:lang w:eastAsia="zh-CN"/>
        </w:rPr>
        <w:t>届广交会出口展参展申请表（一式两份）；</w:t>
      </w:r>
    </w:p>
    <w:p>
      <w:pPr>
        <w:spacing w:line="560" w:lineRule="exact"/>
        <w:ind w:firstLine="640" w:firstLineChars="200"/>
        <w:outlineLvl w:val="0"/>
        <w:rPr>
          <w:rFonts w:hint="eastAsia" w:ascii="仿宋_GB2312" w:hAnsi="仿宋" w:eastAsia="仿宋_GB2312" w:cs="仿宋_GB2312"/>
          <w:sz w:val="32"/>
          <w:szCs w:val="44"/>
          <w:highlight w:val="none"/>
          <w:lang w:eastAsia="zh-CN"/>
        </w:rPr>
      </w:pPr>
      <w:r>
        <w:rPr>
          <w:rFonts w:hint="eastAsia" w:ascii="仿宋_GB2312" w:hAnsi="仿宋" w:eastAsia="仿宋_GB2312" w:cs="仿宋_GB2312"/>
          <w:sz w:val="32"/>
          <w:szCs w:val="44"/>
          <w:highlight w:val="none"/>
          <w:lang w:eastAsia="zh-CN"/>
        </w:rPr>
        <w:t>2、企业产品目录（流通企业需提交供货企业的产品目录）；</w:t>
      </w:r>
    </w:p>
    <w:p>
      <w:pPr>
        <w:spacing w:line="560" w:lineRule="exact"/>
        <w:ind w:firstLine="640" w:firstLineChars="200"/>
        <w:outlineLvl w:val="0"/>
        <w:rPr>
          <w:rFonts w:hint="eastAsia" w:ascii="仿宋_GB2312" w:hAnsi="仿宋" w:eastAsia="仿宋_GB2312" w:cs="仿宋_GB2312"/>
          <w:sz w:val="32"/>
          <w:szCs w:val="44"/>
          <w:highlight w:val="none"/>
          <w:lang w:eastAsia="zh-CN"/>
        </w:rPr>
      </w:pPr>
      <w:r>
        <w:rPr>
          <w:rFonts w:hint="eastAsia" w:ascii="仿宋_GB2312" w:hAnsi="仿宋" w:eastAsia="仿宋_GB2312" w:cs="仿宋_GB2312"/>
          <w:sz w:val="32"/>
          <w:szCs w:val="44"/>
          <w:highlight w:val="none"/>
          <w:lang w:eastAsia="zh-CN"/>
        </w:rPr>
        <w:t>3、营业执照原件和复印件；</w:t>
      </w:r>
    </w:p>
    <w:p>
      <w:pPr>
        <w:spacing w:line="560" w:lineRule="exact"/>
        <w:ind w:firstLine="640" w:firstLineChars="200"/>
        <w:outlineLvl w:val="0"/>
        <w:rPr>
          <w:rFonts w:hint="eastAsia" w:ascii="仿宋_GB2312" w:hAnsi="仿宋" w:eastAsia="仿宋_GB2312" w:cs="仿宋_GB2312"/>
          <w:sz w:val="32"/>
          <w:szCs w:val="44"/>
          <w:highlight w:val="none"/>
          <w:lang w:eastAsia="zh-CN"/>
        </w:rPr>
      </w:pPr>
      <w:r>
        <w:rPr>
          <w:rFonts w:hint="eastAsia" w:ascii="仿宋_GB2312" w:hAnsi="仿宋" w:eastAsia="仿宋_GB2312" w:cs="仿宋_GB2312"/>
          <w:sz w:val="32"/>
          <w:szCs w:val="44"/>
          <w:highlight w:val="none"/>
          <w:lang w:eastAsia="zh-CN"/>
        </w:rPr>
        <w:t>4、民营企业提交对外贸易经营者备案登记表原件和复印件、外资企业提交批准证书原件和复印件、外商投资企业设立备案回执或外商投资企业变更备案回执原件和复印件，以及海关报关单位注册登记证书原件和复印件。</w:t>
      </w:r>
    </w:p>
    <w:p>
      <w:pPr>
        <w:spacing w:line="560" w:lineRule="exact"/>
        <w:ind w:firstLine="640" w:firstLineChars="200"/>
        <w:outlineLvl w:val="0"/>
        <w:rPr>
          <w:rFonts w:hint="eastAsia" w:ascii="仿宋_GB2312" w:hAnsi="仿宋" w:eastAsia="仿宋_GB2312" w:cs="仿宋_GB2312"/>
          <w:sz w:val="32"/>
          <w:szCs w:val="44"/>
          <w:highlight w:val="none"/>
          <w:lang w:eastAsia="zh-CN"/>
        </w:rPr>
      </w:pPr>
      <w:r>
        <w:rPr>
          <w:rFonts w:hint="eastAsia" w:ascii="仿宋_GB2312" w:hAnsi="仿宋" w:eastAsia="仿宋_GB2312" w:cs="仿宋_GB2312"/>
          <w:sz w:val="32"/>
          <w:szCs w:val="44"/>
          <w:highlight w:val="none"/>
          <w:lang w:eastAsia="zh-CN"/>
        </w:rPr>
        <w:t>5、请企业参照附件</w:t>
      </w:r>
      <w:r>
        <w:rPr>
          <w:rFonts w:hint="eastAsia" w:ascii="仿宋_GB2312" w:hAnsi="仿宋" w:eastAsia="仿宋_GB2312" w:cs="仿宋_GB2312"/>
          <w:sz w:val="32"/>
          <w:szCs w:val="44"/>
          <w:highlight w:val="none"/>
          <w:lang w:val="en-US" w:eastAsia="zh-CN"/>
        </w:rPr>
        <w:t>4</w:t>
      </w:r>
      <w:r>
        <w:rPr>
          <w:rFonts w:hint="eastAsia" w:ascii="仿宋_GB2312" w:hAnsi="仿宋" w:eastAsia="仿宋_GB2312" w:cs="仿宋_GB2312"/>
          <w:sz w:val="32"/>
          <w:szCs w:val="44"/>
          <w:highlight w:val="none"/>
          <w:lang w:eastAsia="zh-CN"/>
        </w:rPr>
        <w:t>《广东交易团广交会一般性展位安排实施细则》要求提交各类品牌、商标、专利、技术、认证证书等的原件和复印件（凡外文证书请一并提交中文翻译件）。</w:t>
      </w:r>
    </w:p>
    <w:p>
      <w:pPr>
        <w:spacing w:line="560" w:lineRule="exact"/>
        <w:ind w:firstLine="640" w:firstLineChars="200"/>
        <w:outlineLvl w:val="0"/>
        <w:rPr>
          <w:rFonts w:hint="eastAsia" w:ascii="仿宋_GB2312" w:hAnsi="仿宋" w:eastAsia="仿宋_GB2312" w:cs="仿宋_GB2312"/>
          <w:sz w:val="32"/>
          <w:szCs w:val="44"/>
          <w:highlight w:val="none"/>
          <w:lang w:eastAsia="zh-CN"/>
        </w:rPr>
      </w:pPr>
      <w:r>
        <w:rPr>
          <w:rFonts w:hint="eastAsia" w:ascii="仿宋_GB2312" w:hAnsi="仿宋" w:eastAsia="仿宋_GB2312" w:cs="仿宋_GB2312"/>
          <w:sz w:val="32"/>
          <w:szCs w:val="44"/>
          <w:highlight w:val="none"/>
          <w:lang w:eastAsia="zh-CN"/>
        </w:rPr>
        <w:t>6、流通型企业需提交联营企业或供货企业的近一年来相关的合同、报关单和增值税发票复印件各3份，如有申报联营企业共同参展的需提供联营企业营业执照（此项仅限流通型企业提供）。</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六、注意事项</w:t>
      </w:r>
    </w:p>
    <w:p>
      <w:pPr>
        <w:spacing w:line="560" w:lineRule="exact"/>
        <w:ind w:firstLine="640" w:firstLineChars="200"/>
        <w:rPr>
          <w:rFonts w:hint="eastAsia" w:ascii="仿宋_GB2312" w:hAnsi="仿宋" w:eastAsia="仿宋_GB2312" w:cs="仿宋_GB2312"/>
          <w:sz w:val="32"/>
          <w:szCs w:val="44"/>
          <w:highlight w:val="none"/>
          <w:lang w:eastAsia="zh-CN"/>
        </w:rPr>
      </w:pPr>
      <w:r>
        <w:rPr>
          <w:rFonts w:hint="eastAsia" w:ascii="楷体_GB2312" w:hAnsi="Times New Roman" w:eastAsia="楷体_GB2312" w:cs="Times New Roman"/>
          <w:b w:val="0"/>
          <w:bCs w:val="0"/>
          <w:sz w:val="32"/>
          <w:szCs w:val="32"/>
        </w:rPr>
        <w:t>（一）受疫情影响，第13</w:t>
      </w:r>
      <w:r>
        <w:rPr>
          <w:rFonts w:hint="eastAsia" w:ascii="楷体_GB2312" w:hAnsi="Times New Roman" w:eastAsia="楷体_GB2312" w:cs="Times New Roman"/>
          <w:b w:val="0"/>
          <w:bCs w:val="0"/>
          <w:sz w:val="32"/>
          <w:szCs w:val="32"/>
          <w:lang w:val="en-US" w:eastAsia="zh-CN"/>
        </w:rPr>
        <w:t>2</w:t>
      </w:r>
      <w:r>
        <w:rPr>
          <w:rFonts w:hint="eastAsia" w:ascii="楷体_GB2312" w:hAnsi="Times New Roman" w:eastAsia="楷体_GB2312" w:cs="Times New Roman"/>
          <w:b w:val="0"/>
          <w:bCs w:val="0"/>
          <w:sz w:val="32"/>
          <w:szCs w:val="32"/>
        </w:rPr>
        <w:t>届广交会举办形式未定。</w:t>
      </w:r>
      <w:r>
        <w:rPr>
          <w:rFonts w:hint="eastAsia" w:ascii="仿宋_GB2312" w:hAnsi="仿宋" w:eastAsia="仿宋_GB2312" w:cs="仿宋_GB2312"/>
          <w:sz w:val="32"/>
          <w:szCs w:val="44"/>
          <w:highlight w:val="none"/>
          <w:lang w:eastAsia="zh-CN"/>
        </w:rPr>
        <w:t>线下展可能将以促进国内国际双循环、内贸外贸一体化为主，重点邀请境外机构/企业驻华代表、跨境电商、境内采购商（包括大型百货、连锁超市、各类采购企业等）。请务必认真填报参展需求。</w:t>
      </w:r>
    </w:p>
    <w:p>
      <w:pPr>
        <w:spacing w:line="560" w:lineRule="exact"/>
        <w:ind w:firstLine="630"/>
        <w:rPr>
          <w:rFonts w:hint="eastAsia" w:ascii="仿宋_GB2312" w:hAnsi="仿宋" w:eastAsia="仿宋_GB2312" w:cs="仿宋_GB2312"/>
          <w:sz w:val="32"/>
          <w:szCs w:val="44"/>
          <w:highlight w:val="none"/>
          <w:lang w:eastAsia="zh-CN"/>
        </w:rPr>
      </w:pPr>
      <w:r>
        <w:rPr>
          <w:rFonts w:ascii="楷体_GB2312" w:hAnsi="Times New Roman" w:eastAsia="楷体_GB2312" w:cs="Times New Roman"/>
          <w:b w:val="0"/>
          <w:bCs w:val="0"/>
          <w:sz w:val="32"/>
          <w:szCs w:val="32"/>
        </w:rPr>
        <w:t>（二）请按照系统提示，详细、如实填报有关信息</w:t>
      </w:r>
      <w:r>
        <w:rPr>
          <w:rFonts w:ascii="楷体_GB2312" w:hAnsi="Times New Roman" w:eastAsia="楷体_GB2312" w:cs="Times New Roman"/>
          <w:b/>
          <w:bCs/>
          <w:sz w:val="32"/>
          <w:szCs w:val="32"/>
        </w:rPr>
        <w:t>。</w:t>
      </w:r>
      <w:r>
        <w:rPr>
          <w:rFonts w:hint="eastAsia" w:ascii="仿宋_GB2312" w:hAnsi="仿宋" w:eastAsia="仿宋_GB2312" w:cs="仿宋_GB2312"/>
          <w:sz w:val="32"/>
          <w:szCs w:val="44"/>
          <w:highlight w:val="none"/>
          <w:lang w:eastAsia="zh-CN"/>
        </w:rPr>
        <w:t>如在申请填报中遇到问题，可参阅“参展易捷通”系统首页“通知公告栏”的操作指南，或及时联系广交会客户联络中心（4000—888—999）解决。</w:t>
      </w:r>
    </w:p>
    <w:p>
      <w:pPr>
        <w:spacing w:line="560" w:lineRule="exact"/>
        <w:ind w:firstLine="630"/>
        <w:rPr>
          <w:rFonts w:hint="eastAsia" w:ascii="仿宋_GB2312" w:hAnsi="仿宋" w:eastAsia="仿宋_GB2312" w:cs="仿宋_GB2312"/>
          <w:sz w:val="32"/>
          <w:szCs w:val="44"/>
          <w:highlight w:val="none"/>
          <w:lang w:eastAsia="zh-CN"/>
        </w:rPr>
      </w:pPr>
      <w:r>
        <w:rPr>
          <w:rFonts w:hint="eastAsia" w:ascii="楷体_GB2312" w:hAnsi="楷体_GB2312" w:eastAsia="楷体_GB2312" w:cs="楷体_GB2312"/>
          <w:b w:val="0"/>
          <w:bCs w:val="0"/>
          <w:sz w:val="32"/>
          <w:szCs w:val="32"/>
        </w:rPr>
        <w:t>（三）展位申请时登记的展品将不在广交会官网展示。</w:t>
      </w:r>
      <w:r>
        <w:rPr>
          <w:rFonts w:hint="eastAsia" w:ascii="仿宋_GB2312" w:hAnsi="仿宋" w:eastAsia="仿宋_GB2312" w:cs="仿宋_GB2312"/>
          <w:sz w:val="32"/>
          <w:szCs w:val="44"/>
          <w:highlight w:val="none"/>
          <w:lang w:eastAsia="zh-CN"/>
        </w:rPr>
        <w:t>如需维护广交会官网展示的展品信息，请在获得展位安排后登录官网“云展厅管理”系统进行相关操作。</w:t>
      </w:r>
    </w:p>
    <w:p>
      <w:pPr>
        <w:spacing w:line="560" w:lineRule="exact"/>
        <w:ind w:firstLine="630"/>
        <w:rPr>
          <w:rFonts w:hint="eastAsia" w:ascii="仿宋_GB2312" w:hAnsi="仿宋" w:eastAsia="仿宋_GB2312" w:cs="仿宋_GB2312"/>
          <w:sz w:val="32"/>
          <w:szCs w:val="44"/>
          <w:highlight w:val="none"/>
          <w:lang w:eastAsia="zh-CN"/>
        </w:rPr>
      </w:pPr>
      <w:r>
        <w:rPr>
          <w:rFonts w:hint="eastAsia" w:ascii="楷体_GB2312" w:hAnsi="楷体_GB2312" w:eastAsia="楷体_GB2312" w:cs="楷体_GB2312"/>
          <w:b w:val="0"/>
          <w:bCs w:val="0"/>
          <w:sz w:val="32"/>
          <w:szCs w:val="32"/>
        </w:rPr>
        <w:t>（四）申请展位实行展品专业分区的展区时</w:t>
      </w:r>
      <w:r>
        <w:rPr>
          <w:rFonts w:hint="eastAsia" w:ascii="楷体_GB2312" w:hAnsi="楷体_GB2312" w:eastAsia="楷体_GB2312" w:cs="楷体_GB2312"/>
          <w:b w:val="0"/>
          <w:bCs w:val="0"/>
          <w:sz w:val="32"/>
          <w:szCs w:val="32"/>
          <w:lang w:eastAsia="zh-CN"/>
        </w:rPr>
        <w:t>。</w:t>
      </w:r>
      <w:r>
        <w:rPr>
          <w:rFonts w:hint="eastAsia" w:ascii="仿宋_GB2312" w:hAnsi="仿宋" w:eastAsia="仿宋_GB2312" w:cs="仿宋_GB2312"/>
          <w:sz w:val="32"/>
          <w:szCs w:val="44"/>
          <w:highlight w:val="none"/>
          <w:lang w:eastAsia="zh-CN"/>
        </w:rPr>
        <w:t>须根据主要展品类别（占本企业展品60%以上），如实申报对应展品专区，以方便采购商准确查找目标展位，提高参展成效。</w:t>
      </w:r>
    </w:p>
    <w:p>
      <w:pPr>
        <w:spacing w:line="560" w:lineRule="exact"/>
        <w:ind w:firstLine="630"/>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rPr>
        <w:t>（五）广交会出口展实行退展位约束机制，</w:t>
      </w:r>
      <w:r>
        <w:rPr>
          <w:rFonts w:hint="eastAsia" w:ascii="楷体_GB2312" w:hAnsi="楷体_GB2312" w:eastAsia="楷体_GB2312" w:cs="楷体_GB2312"/>
          <w:sz w:val="32"/>
          <w:szCs w:val="32"/>
        </w:rPr>
        <w:t>具体为：</w:t>
      </w:r>
    </w:p>
    <w:p>
      <w:pPr>
        <w:spacing w:line="560" w:lineRule="exact"/>
        <w:ind w:firstLine="630"/>
        <w:rPr>
          <w:rFonts w:hint="eastAsia" w:ascii="仿宋_GB2312" w:hAnsi="仿宋" w:eastAsia="仿宋_GB2312" w:cs="仿宋_GB2312"/>
          <w:sz w:val="32"/>
          <w:szCs w:val="44"/>
          <w:highlight w:val="none"/>
          <w:lang w:eastAsia="zh-CN"/>
        </w:rPr>
      </w:pPr>
      <w:r>
        <w:rPr>
          <w:rFonts w:hint="eastAsia" w:ascii="仿宋_GB2312" w:hAnsi="仿宋" w:eastAsia="仿宋_GB2312" w:cs="仿宋_GB2312"/>
          <w:sz w:val="32"/>
          <w:szCs w:val="44"/>
          <w:highlight w:val="none"/>
          <w:lang w:eastAsia="zh-CN"/>
        </w:rPr>
        <w:t>1.新能源、宠物用品展区：详见附件</w:t>
      </w:r>
      <w:r>
        <w:rPr>
          <w:rFonts w:hint="eastAsia" w:ascii="仿宋_GB2312" w:hAnsi="仿宋" w:eastAsia="仿宋_GB2312" w:cs="仿宋_GB2312"/>
          <w:sz w:val="32"/>
          <w:szCs w:val="44"/>
          <w:highlight w:val="none"/>
          <w:lang w:val="en-US" w:eastAsia="zh-CN"/>
        </w:rPr>
        <w:t>3</w:t>
      </w:r>
      <w:r>
        <w:rPr>
          <w:rFonts w:hint="eastAsia" w:ascii="仿宋_GB2312" w:hAnsi="仿宋" w:eastAsia="仿宋_GB2312" w:cs="仿宋_GB2312"/>
          <w:sz w:val="32"/>
          <w:szCs w:val="44"/>
          <w:highlight w:val="none"/>
          <w:lang w:eastAsia="zh-CN"/>
        </w:rPr>
        <w:t>第四点。</w:t>
      </w:r>
    </w:p>
    <w:p>
      <w:pPr>
        <w:spacing w:line="560" w:lineRule="exact"/>
        <w:ind w:firstLine="630"/>
        <w:rPr>
          <w:rFonts w:hint="eastAsia" w:ascii="仿宋_GB2312" w:hAnsi="仿宋" w:eastAsia="仿宋_GB2312" w:cs="仿宋_GB2312"/>
          <w:sz w:val="32"/>
          <w:szCs w:val="44"/>
          <w:highlight w:val="none"/>
          <w:lang w:eastAsia="zh-CN"/>
        </w:rPr>
      </w:pPr>
      <w:r>
        <w:rPr>
          <w:rFonts w:hint="eastAsia" w:ascii="仿宋_GB2312" w:hAnsi="仿宋" w:eastAsia="仿宋_GB2312" w:cs="仿宋_GB2312"/>
          <w:sz w:val="32"/>
          <w:szCs w:val="44"/>
          <w:highlight w:val="none"/>
          <w:lang w:eastAsia="zh-CN"/>
        </w:rPr>
        <w:t>2.其他展区：在完成所有企业展位位置预置截止后的第二天之前（含）退展位的，所退展位不收取展位费；在完成所有企业展位位置预置截止后的第二天之后至开幕前一天（含）退展位的，所退展位收取一半展位费；在开幕之后退展位的，所退展位收取全额展位费。</w:t>
      </w:r>
    </w:p>
    <w:p>
      <w:pPr>
        <w:spacing w:line="560" w:lineRule="exact"/>
        <w:ind w:firstLine="630"/>
        <w:rPr>
          <w:rFonts w:hint="eastAsia" w:ascii="仿宋_GB2312" w:hAnsi="仿宋" w:eastAsia="仿宋_GB2312" w:cs="仿宋_GB2312"/>
          <w:sz w:val="32"/>
          <w:szCs w:val="44"/>
          <w:highlight w:val="none"/>
          <w:lang w:eastAsia="zh-CN"/>
        </w:rPr>
      </w:pPr>
      <w:r>
        <w:rPr>
          <w:rFonts w:hint="eastAsia" w:ascii="仿宋_GB2312" w:hAnsi="仿宋" w:eastAsia="仿宋_GB2312" w:cs="仿宋_GB2312"/>
          <w:sz w:val="32"/>
          <w:szCs w:val="44"/>
          <w:highlight w:val="none"/>
          <w:lang w:eastAsia="zh-CN"/>
        </w:rPr>
        <w:t>线上展相关退展约束机制，另行通知。</w:t>
      </w:r>
    </w:p>
    <w:p>
      <w:pPr>
        <w:keepNext w:val="0"/>
        <w:keepLines w:val="0"/>
        <w:pageBreakBefore w:val="0"/>
        <w:widowControl w:val="0"/>
        <w:kinsoku/>
        <w:overflowPunct/>
        <w:topLinePunct w:val="0"/>
        <w:autoSpaceDE/>
        <w:autoSpaceDN/>
        <w:bidi w:val="0"/>
        <w:spacing w:line="600" w:lineRule="exact"/>
        <w:ind w:firstLine="63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（六）</w:t>
      </w:r>
      <w:r>
        <w:rPr>
          <w:rFonts w:hint="eastAsia" w:ascii="楷体_GB2312" w:hAnsi="楷体_GB2312" w:eastAsia="楷体_GB2312" w:cs="楷体_GB2312"/>
          <w:b w:val="0"/>
          <w:bCs w:val="0"/>
          <w:sz w:val="32"/>
          <w:szCs w:val="44"/>
          <w:highlight w:val="none"/>
        </w:rPr>
        <w:t>第13</w:t>
      </w:r>
      <w:r>
        <w:rPr>
          <w:rFonts w:hint="eastAsia" w:ascii="楷体_GB2312" w:hAnsi="楷体_GB2312" w:eastAsia="楷体_GB2312" w:cs="楷体_GB2312"/>
          <w:b w:val="0"/>
          <w:bCs w:val="0"/>
          <w:sz w:val="32"/>
          <w:szCs w:val="44"/>
          <w:highlight w:val="none"/>
          <w:lang w:val="en-US" w:eastAsia="zh-CN"/>
        </w:rPr>
        <w:t>2</w:t>
      </w:r>
      <w:r>
        <w:rPr>
          <w:rFonts w:hint="eastAsia" w:ascii="楷体_GB2312" w:hAnsi="楷体_GB2312" w:eastAsia="楷体_GB2312" w:cs="楷体_GB2312"/>
          <w:b w:val="0"/>
          <w:bCs w:val="0"/>
          <w:sz w:val="32"/>
          <w:szCs w:val="44"/>
          <w:highlight w:val="none"/>
        </w:rPr>
        <w:t>届广交会</w:t>
      </w:r>
      <w:r>
        <w:rPr>
          <w:rFonts w:hint="eastAsia" w:ascii="楷体_GB2312" w:hAnsi="楷体_GB2312" w:eastAsia="楷体_GB2312" w:cs="楷体_GB2312"/>
          <w:b w:val="0"/>
          <w:bCs w:val="0"/>
          <w:sz w:val="32"/>
          <w:szCs w:val="44"/>
          <w:highlight w:val="none"/>
          <w:lang w:eastAsia="zh-CN"/>
        </w:rPr>
        <w:t>线下展展位价格标准、线上展</w:t>
      </w:r>
      <w:r>
        <w:rPr>
          <w:rFonts w:hint="eastAsia" w:ascii="楷体_GB2312" w:hAnsi="楷体_GB2312" w:eastAsia="楷体_GB2312" w:cs="楷体_GB2312"/>
          <w:b w:val="0"/>
          <w:bCs w:val="0"/>
          <w:sz w:val="32"/>
          <w:szCs w:val="44"/>
          <w:highlight w:val="none"/>
        </w:rPr>
        <w:t>参展</w:t>
      </w:r>
      <w:r>
        <w:rPr>
          <w:rFonts w:hint="eastAsia" w:ascii="楷体_GB2312" w:hAnsi="楷体_GB2312" w:eastAsia="楷体_GB2312" w:cs="楷体_GB2312"/>
          <w:b w:val="0"/>
          <w:bCs w:val="0"/>
          <w:sz w:val="32"/>
          <w:szCs w:val="44"/>
          <w:highlight w:val="none"/>
          <w:lang w:eastAsia="zh-CN"/>
        </w:rPr>
        <w:t>服务</w:t>
      </w:r>
      <w:r>
        <w:rPr>
          <w:rFonts w:hint="eastAsia" w:ascii="楷体_GB2312" w:hAnsi="楷体_GB2312" w:eastAsia="楷体_GB2312" w:cs="楷体_GB2312"/>
          <w:b w:val="0"/>
          <w:bCs w:val="0"/>
          <w:sz w:val="32"/>
          <w:szCs w:val="44"/>
          <w:highlight w:val="none"/>
        </w:rPr>
        <w:t>费用标准另行通知。</w:t>
      </w:r>
    </w:p>
    <w:p>
      <w:pPr>
        <w:spacing w:line="560" w:lineRule="exact"/>
        <w:ind w:firstLine="640" w:firstLineChars="200"/>
        <w:rPr>
          <w:rFonts w:ascii="Times New Roman" w:hAnsi="Times New Roman" w:eastAsia="黑体" w:cs="Times New Roman"/>
          <w:bCs/>
          <w:sz w:val="32"/>
          <w:szCs w:val="44"/>
        </w:rPr>
      </w:pPr>
      <w:r>
        <w:rPr>
          <w:rFonts w:ascii="Times New Roman" w:hAnsi="Times New Roman" w:eastAsia="黑体" w:cs="Times New Roman"/>
          <w:sz w:val="32"/>
          <w:szCs w:val="32"/>
        </w:rPr>
        <w:t>七、特别敬告</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仿宋_GB2312" w:hAnsi="仿宋" w:eastAsia="仿宋_GB2312" w:cs="仿宋_GB2312"/>
          <w:sz w:val="32"/>
          <w:szCs w:val="44"/>
          <w:highlight w:val="none"/>
          <w:lang w:eastAsia="zh-CN"/>
        </w:rPr>
      </w:pPr>
      <w:r>
        <w:rPr>
          <w:rFonts w:hint="eastAsia" w:ascii="楷体_GB2312" w:hAnsi="楷体_GB2312" w:eastAsia="楷体_GB2312" w:cs="楷体_GB2312"/>
          <w:b w:val="0"/>
          <w:bCs w:val="0"/>
          <w:sz w:val="32"/>
          <w:szCs w:val="32"/>
        </w:rPr>
        <w:t>（一）企业网上参展申请生效不代表获得展位。</w:t>
      </w:r>
      <w:r>
        <w:rPr>
          <w:rFonts w:hint="eastAsia" w:ascii="仿宋_GB2312" w:hAnsi="仿宋" w:eastAsia="仿宋_GB2312" w:cs="仿宋_GB2312"/>
          <w:sz w:val="32"/>
          <w:szCs w:val="44"/>
          <w:highlight w:val="none"/>
          <w:lang w:eastAsia="zh-CN"/>
        </w:rPr>
        <w:t>展位安排将根据</w:t>
      </w:r>
      <w:r>
        <w:rPr>
          <w:rFonts w:hint="eastAsia" w:ascii="仿宋_GB2312" w:hAnsi="仿宋" w:eastAsia="仿宋_GB2312" w:cs="仿宋_GB2312"/>
          <w:sz w:val="32"/>
          <w:szCs w:val="44"/>
          <w:highlight w:val="none"/>
          <w:lang w:eastAsia="zh-CN"/>
        </w:rPr>
        <w:fldChar w:fldCharType="begin"/>
      </w:r>
      <w:r>
        <w:rPr>
          <w:rFonts w:hint="eastAsia" w:ascii="仿宋_GB2312" w:hAnsi="仿宋" w:eastAsia="仿宋_GB2312" w:cs="仿宋_GB2312"/>
          <w:sz w:val="32"/>
          <w:szCs w:val="44"/>
          <w:highlight w:val="none"/>
          <w:lang w:eastAsia="zh-CN"/>
        </w:rPr>
        <w:instrText xml:space="preserve"> HYPERLINK "http://www.cantonfair.org.cn/public/file_download.aspx?fid=1442&amp;fname=2010-4-1_19-38-17_32.rar" \t "_blank" </w:instrText>
      </w:r>
      <w:r>
        <w:rPr>
          <w:rFonts w:hint="eastAsia" w:ascii="仿宋_GB2312" w:hAnsi="仿宋" w:eastAsia="仿宋_GB2312" w:cs="仿宋_GB2312"/>
          <w:sz w:val="32"/>
          <w:szCs w:val="44"/>
          <w:highlight w:val="none"/>
          <w:lang w:eastAsia="zh-CN"/>
        </w:rPr>
        <w:fldChar w:fldCharType="separate"/>
      </w:r>
      <w:r>
        <w:rPr>
          <w:rFonts w:hint="eastAsia" w:ascii="仿宋_GB2312" w:hAnsi="仿宋" w:eastAsia="仿宋_GB2312" w:cs="仿宋_GB2312"/>
          <w:sz w:val="32"/>
          <w:szCs w:val="44"/>
          <w:highlight w:val="none"/>
          <w:lang w:eastAsia="zh-CN"/>
        </w:rPr>
        <w:t>广交会出口展展位安排相关办法</w:t>
      </w:r>
      <w:r>
        <w:rPr>
          <w:rFonts w:hint="eastAsia" w:ascii="仿宋_GB2312" w:hAnsi="仿宋" w:eastAsia="仿宋_GB2312" w:cs="仿宋_GB2312"/>
          <w:sz w:val="32"/>
          <w:szCs w:val="44"/>
          <w:highlight w:val="none"/>
          <w:lang w:eastAsia="zh-CN"/>
        </w:rPr>
        <w:fldChar w:fldCharType="end"/>
      </w:r>
      <w:r>
        <w:rPr>
          <w:rFonts w:hint="eastAsia" w:ascii="仿宋_GB2312" w:hAnsi="仿宋" w:eastAsia="仿宋_GB2312" w:cs="仿宋_GB2312"/>
          <w:sz w:val="32"/>
          <w:szCs w:val="44"/>
          <w:highlight w:val="none"/>
          <w:lang w:eastAsia="zh-CN"/>
        </w:rPr>
        <w:t>确定，安排结果以 “参展易捷通”最终公布展位号或我局通知为准。如企业获得线下展展位安排，默认同步获得线上展参展资格。</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仿宋_GB2312" w:hAnsi="仿宋" w:eastAsia="仿宋_GB2312" w:cs="仿宋_GB2312"/>
          <w:sz w:val="32"/>
          <w:szCs w:val="44"/>
          <w:highlight w:val="none"/>
          <w:lang w:eastAsia="zh-CN"/>
        </w:rPr>
      </w:pPr>
      <w:r>
        <w:rPr>
          <w:rFonts w:hint="eastAsia" w:ascii="楷体_GB2312" w:hAnsi="楷体_GB2312" w:eastAsia="楷体_GB2312" w:cs="楷体_GB2312"/>
          <w:b w:val="0"/>
          <w:bCs w:val="0"/>
          <w:sz w:val="32"/>
          <w:szCs w:val="32"/>
        </w:rPr>
        <w:t>（二）“参展易捷通”为广交会官方唯一展位申请渠道。</w:t>
      </w:r>
      <w:r>
        <w:rPr>
          <w:rFonts w:hint="eastAsia" w:ascii="仿宋_GB2312" w:hAnsi="仿宋" w:eastAsia="仿宋_GB2312" w:cs="仿宋_GB2312"/>
          <w:sz w:val="32"/>
          <w:szCs w:val="44"/>
          <w:highlight w:val="none"/>
          <w:lang w:eastAsia="zh-CN"/>
        </w:rPr>
        <w:t>展位申请相关事宜请先与所属交易团联系。所有参展事宜，包括缴纳参展费用、办理证件等，均须通过所属交易团办理。广交会出口展不委托除交易团以外的任何单位或个人代理任何展位申请、安排等事宜。请企业提高警惕，谨防上当受骗。</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仿宋_GB2312" w:hAnsi="仿宋" w:eastAsia="仿宋_GB2312" w:cs="仿宋_GB2312"/>
          <w:sz w:val="32"/>
          <w:szCs w:val="44"/>
          <w:highlight w:val="none"/>
          <w:lang w:eastAsia="zh-CN"/>
        </w:rPr>
      </w:pPr>
      <w:r>
        <w:rPr>
          <w:rFonts w:ascii="楷体_GB2312" w:hAnsi="Times New Roman" w:eastAsia="楷体_GB2312" w:cs="Times New Roman"/>
          <w:b w:val="0"/>
          <w:bCs w:val="0"/>
          <w:sz w:val="32"/>
          <w:szCs w:val="32"/>
        </w:rPr>
        <w:t>（</w:t>
      </w:r>
      <w:r>
        <w:rPr>
          <w:rFonts w:hint="eastAsia" w:ascii="楷体_GB2312" w:hAnsi="Times New Roman" w:eastAsia="楷体_GB2312" w:cs="Times New Roman"/>
          <w:b w:val="0"/>
          <w:bCs w:val="0"/>
          <w:sz w:val="32"/>
          <w:szCs w:val="32"/>
        </w:rPr>
        <w:t>三</w:t>
      </w:r>
      <w:r>
        <w:rPr>
          <w:rFonts w:ascii="楷体_GB2312" w:hAnsi="Times New Roman" w:eastAsia="楷体_GB2312" w:cs="Times New Roman"/>
          <w:b w:val="0"/>
          <w:bCs w:val="0"/>
          <w:sz w:val="32"/>
          <w:szCs w:val="32"/>
        </w:rPr>
        <w:t>）企业所提交证书的原件经核对后</w:t>
      </w:r>
      <w:r>
        <w:rPr>
          <w:rFonts w:hint="eastAsia" w:ascii="楷体_GB2312" w:hAnsi="Times New Roman" w:eastAsia="楷体_GB2312" w:cs="Times New Roman"/>
          <w:b w:val="0"/>
          <w:bCs w:val="0"/>
          <w:sz w:val="32"/>
          <w:szCs w:val="32"/>
        </w:rPr>
        <w:t>将</w:t>
      </w:r>
      <w:r>
        <w:rPr>
          <w:rFonts w:ascii="楷体_GB2312" w:hAnsi="Times New Roman" w:eastAsia="楷体_GB2312" w:cs="Times New Roman"/>
          <w:b w:val="0"/>
          <w:bCs w:val="0"/>
          <w:sz w:val="32"/>
          <w:szCs w:val="32"/>
        </w:rPr>
        <w:t>即时退还企业，不接收快递方式提交申请资料。</w:t>
      </w:r>
      <w:r>
        <w:rPr>
          <w:rFonts w:hint="eastAsia" w:ascii="仿宋_GB2312" w:hAnsi="仿宋" w:eastAsia="仿宋_GB2312" w:cs="仿宋_GB2312"/>
          <w:sz w:val="32"/>
          <w:szCs w:val="44"/>
          <w:highlight w:val="none"/>
          <w:lang w:eastAsia="zh-CN"/>
        </w:rPr>
        <w:t>请品牌展位申请企业于</w:t>
      </w:r>
      <w:r>
        <w:rPr>
          <w:rFonts w:hint="eastAsia" w:ascii="仿宋_GB2312" w:hAnsi="仿宋" w:eastAsia="仿宋_GB2312" w:cs="仿宋_GB2312"/>
          <w:sz w:val="32"/>
          <w:szCs w:val="44"/>
          <w:highlight w:val="none"/>
          <w:lang w:val="en-US" w:eastAsia="zh-CN"/>
        </w:rPr>
        <w:t>5</w:t>
      </w:r>
      <w:r>
        <w:rPr>
          <w:rFonts w:hint="eastAsia" w:ascii="仿宋_GB2312" w:hAnsi="仿宋" w:eastAsia="仿宋_GB2312" w:cs="仿宋_GB2312"/>
          <w:sz w:val="32"/>
          <w:szCs w:val="44"/>
          <w:highlight w:val="none"/>
          <w:lang w:eastAsia="zh-CN"/>
        </w:rPr>
        <w:t>月</w:t>
      </w:r>
      <w:r>
        <w:rPr>
          <w:rFonts w:hint="eastAsia" w:ascii="仿宋_GB2312" w:hAnsi="仿宋" w:eastAsia="仿宋_GB2312" w:cs="仿宋_GB2312"/>
          <w:sz w:val="32"/>
          <w:szCs w:val="44"/>
          <w:highlight w:val="none"/>
          <w:lang w:val="en-US" w:eastAsia="zh-CN"/>
        </w:rPr>
        <w:t>30</w:t>
      </w:r>
      <w:r>
        <w:rPr>
          <w:rFonts w:hint="eastAsia" w:ascii="仿宋_GB2312" w:hAnsi="仿宋" w:eastAsia="仿宋_GB2312" w:cs="仿宋_GB2312"/>
          <w:sz w:val="32"/>
          <w:szCs w:val="44"/>
          <w:highlight w:val="none"/>
          <w:lang w:eastAsia="zh-CN"/>
        </w:rPr>
        <w:t>日前、一般性展位申请企业于</w:t>
      </w:r>
      <w:r>
        <w:rPr>
          <w:rFonts w:hint="eastAsia" w:ascii="仿宋_GB2312" w:hAnsi="仿宋" w:eastAsia="仿宋_GB2312" w:cs="仿宋_GB2312"/>
          <w:sz w:val="32"/>
          <w:szCs w:val="44"/>
          <w:highlight w:val="none"/>
          <w:lang w:val="en-US" w:eastAsia="zh-CN"/>
        </w:rPr>
        <w:t>6</w:t>
      </w:r>
      <w:r>
        <w:rPr>
          <w:rFonts w:hint="eastAsia" w:ascii="仿宋_GB2312" w:hAnsi="仿宋" w:eastAsia="仿宋_GB2312" w:cs="仿宋_GB2312"/>
          <w:sz w:val="32"/>
          <w:szCs w:val="44"/>
          <w:highlight w:val="none"/>
          <w:lang w:eastAsia="zh-CN"/>
        </w:rPr>
        <w:t>月</w:t>
      </w:r>
      <w:r>
        <w:rPr>
          <w:rFonts w:hint="eastAsia" w:ascii="仿宋_GB2312" w:hAnsi="仿宋" w:eastAsia="仿宋_GB2312" w:cs="仿宋_GB2312"/>
          <w:sz w:val="32"/>
          <w:szCs w:val="44"/>
          <w:highlight w:val="none"/>
          <w:lang w:val="en-US" w:eastAsia="zh-CN"/>
        </w:rPr>
        <w:t>10</w:t>
      </w:r>
      <w:r>
        <w:rPr>
          <w:rFonts w:hint="eastAsia" w:ascii="仿宋_GB2312" w:hAnsi="仿宋" w:eastAsia="仿宋_GB2312" w:cs="仿宋_GB2312"/>
          <w:sz w:val="32"/>
          <w:szCs w:val="44"/>
          <w:highlight w:val="none"/>
          <w:lang w:eastAsia="zh-CN"/>
        </w:rPr>
        <w:t>日前将所需资料提交至我局，逾期不报者视作自动放弃展位申请。</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仿宋_GB2312" w:hAnsi="仿宋" w:eastAsia="仿宋_GB2312" w:cs="仿宋_GB2312"/>
          <w:sz w:val="32"/>
          <w:szCs w:val="44"/>
          <w:highlight w:val="none"/>
          <w:lang w:eastAsia="zh-CN"/>
        </w:rPr>
      </w:pPr>
      <w:r>
        <w:rPr>
          <w:rFonts w:hint="eastAsia" w:ascii="仿宋_GB2312" w:hAnsi="仿宋" w:eastAsia="仿宋_GB2312" w:cs="仿宋_GB2312"/>
          <w:sz w:val="32"/>
          <w:szCs w:val="44"/>
          <w:highlight w:val="none"/>
          <w:lang w:eastAsia="zh-CN"/>
        </w:rPr>
        <w:t>特此通知。</w:t>
      </w:r>
    </w:p>
    <w:p>
      <w:pPr>
        <w:spacing w:line="560" w:lineRule="exact"/>
        <w:ind w:firstLine="640" w:firstLineChars="200"/>
        <w:jc w:val="left"/>
        <w:rPr>
          <w:rFonts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中国进出口商品交易会出口展品牌展位数量</w:t>
      </w:r>
    </w:p>
    <w:p>
      <w:pPr>
        <w:keepNext w:val="0"/>
        <w:keepLines w:val="0"/>
        <w:pageBreakBefore w:val="0"/>
        <w:widowControl w:val="0"/>
        <w:kinsoku/>
        <w:overflowPunct/>
        <w:topLinePunct w:val="0"/>
        <w:autoSpaceDE/>
        <w:autoSpaceDN/>
        <w:bidi w:val="0"/>
        <w:spacing w:line="600" w:lineRule="exact"/>
        <w:ind w:firstLine="1920" w:firstLineChars="6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 xml:space="preserve">安排办法实施细则（2017年修订） </w:t>
      </w:r>
    </w:p>
    <w:p>
      <w:pPr>
        <w:keepNext w:val="0"/>
        <w:keepLines w:val="0"/>
        <w:pageBreakBefore w:val="0"/>
        <w:widowControl w:val="0"/>
        <w:kinsoku/>
        <w:overflowPunct/>
        <w:topLinePunct w:val="0"/>
        <w:autoSpaceDE/>
        <w:autoSpaceDN/>
        <w:bidi w:val="0"/>
        <w:spacing w:line="600" w:lineRule="exact"/>
        <w:ind w:firstLine="1600" w:firstLineChars="5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.广交会出口展参展企业资格标准</w:t>
      </w:r>
    </w:p>
    <w:p>
      <w:pPr>
        <w:keepNext w:val="0"/>
        <w:keepLines w:val="0"/>
        <w:pageBreakBefore w:val="0"/>
        <w:widowControl w:val="0"/>
        <w:kinsoku/>
        <w:overflowPunct/>
        <w:topLinePunct w:val="0"/>
        <w:autoSpaceDE/>
        <w:autoSpaceDN/>
        <w:bidi w:val="0"/>
        <w:spacing w:line="600" w:lineRule="exact"/>
        <w:ind w:firstLine="1600" w:firstLineChars="5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新能源、宠物用品展区展位申请相关说明</w:t>
      </w:r>
    </w:p>
    <w:p>
      <w:pPr>
        <w:keepNext w:val="0"/>
        <w:keepLines w:val="0"/>
        <w:pageBreakBefore w:val="0"/>
        <w:widowControl w:val="0"/>
        <w:kinsoku/>
        <w:overflowPunct/>
        <w:topLinePunct w:val="0"/>
        <w:autoSpaceDE/>
        <w:autoSpaceDN/>
        <w:bidi w:val="0"/>
        <w:spacing w:line="600" w:lineRule="exact"/>
        <w:ind w:firstLine="1600" w:firstLineChars="5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 xml:space="preserve">广东交易团广交会一般性展位安排实施细则 </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bookmarkStart w:id="2" w:name="_GoBack"/>
      <w:bookmarkEnd w:id="2"/>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东莞市商务局 </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日</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（联系人1：卢  津， 联系方式：0769-22808626，18575213193 </w:t>
      </w:r>
    </w:p>
    <w:p>
      <w:pPr>
        <w:keepNext w:val="0"/>
        <w:keepLines w:val="0"/>
        <w:pageBreakBefore w:val="0"/>
        <w:widowControl w:val="0"/>
        <w:kinsoku/>
        <w:overflowPunct/>
        <w:topLinePunct w:val="0"/>
        <w:autoSpaceDE/>
        <w:autoSpaceDN/>
        <w:bidi w:val="0"/>
        <w:spacing w:line="600" w:lineRule="exact"/>
        <w:ind w:firstLine="320" w:firstLineChars="1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联系人2：邓如顺， 联系方式：0769-22819925，13712980931   </w:t>
      </w:r>
    </w:p>
    <w:p>
      <w:pPr>
        <w:keepNext w:val="0"/>
        <w:keepLines w:val="0"/>
        <w:pageBreakBefore w:val="0"/>
        <w:widowControl w:val="0"/>
        <w:kinsoku/>
        <w:overflowPunct/>
        <w:topLinePunct w:val="0"/>
        <w:autoSpaceDE/>
        <w:autoSpaceDN/>
        <w:bidi w:val="0"/>
        <w:spacing w:line="600" w:lineRule="exac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地址：东莞市南城莞太路33号市商务局大楼7楼综合科办公室）</w:t>
      </w:r>
    </w:p>
    <w:p>
      <w:pPr>
        <w:spacing w:line="600" w:lineRule="exact"/>
        <w:rPr>
          <w:rFonts w:hint="eastAsia" w:ascii="Times New Roman" w:hAnsi="Times New Roman" w:eastAsia="黑体" w:cs="Times New Roman"/>
          <w:sz w:val="32"/>
          <w:lang w:val="en-US" w:eastAsia="zh-CN"/>
        </w:rPr>
      </w:pPr>
      <w:r>
        <w:rPr>
          <w:rFonts w:hint="eastAsia" w:ascii="Times New Roman" w:hAnsi="Times New Roman" w:eastAsia="黑体" w:cs="Times New Roman"/>
          <w:sz w:val="32"/>
          <w:lang w:eastAsia="zh-CN"/>
        </w:rPr>
        <w:t>附件</w:t>
      </w:r>
      <w:r>
        <w:rPr>
          <w:rFonts w:hint="eastAsia" w:ascii="Times New Roman" w:hAnsi="Times New Roman" w:eastAsia="黑体" w:cs="Times New Roman"/>
          <w:sz w:val="32"/>
          <w:lang w:val="en-US" w:eastAsia="zh-CN"/>
        </w:rPr>
        <w:t>1</w:t>
      </w:r>
    </w:p>
    <w:p>
      <w:pPr>
        <w:spacing w:beforeLines="0" w:afterLines="0"/>
        <w:jc w:val="center"/>
        <w:rPr>
          <w:rFonts w:hint="eastAsia" w:ascii="方正小标宋简体" w:hAnsi="方正小标宋简体" w:eastAsia="方正小标宋简体" w:cs="方正小标宋简体"/>
          <w:color w:val="000000"/>
          <w:sz w:val="44"/>
          <w:szCs w:val="32"/>
        </w:rPr>
      </w:pPr>
      <w:r>
        <w:rPr>
          <w:rFonts w:hint="eastAsia" w:ascii="方正小标宋简体" w:hAnsi="方正小标宋简体" w:eastAsia="方正小标宋简体" w:cs="方正小标宋简体"/>
          <w:color w:val="000000"/>
          <w:sz w:val="44"/>
          <w:szCs w:val="32"/>
        </w:rPr>
        <w:t xml:space="preserve">中国进出口商品交易会出口展品牌展位 </w:t>
      </w:r>
    </w:p>
    <w:p>
      <w:pPr>
        <w:spacing w:beforeLines="0" w:afterLines="0"/>
        <w:jc w:val="center"/>
        <w:rPr>
          <w:rFonts w:hint="eastAsia" w:ascii="方正小标宋简体" w:hAnsi="方正小标宋简体" w:eastAsia="方正小标宋简体" w:cs="方正小标宋简体"/>
          <w:color w:val="000000"/>
          <w:sz w:val="44"/>
          <w:szCs w:val="32"/>
        </w:rPr>
      </w:pPr>
      <w:r>
        <w:rPr>
          <w:rFonts w:hint="eastAsia" w:ascii="方正小标宋简体" w:hAnsi="方正小标宋简体" w:eastAsia="方正小标宋简体" w:cs="方正小标宋简体"/>
          <w:color w:val="000000"/>
          <w:sz w:val="44"/>
          <w:szCs w:val="32"/>
        </w:rPr>
        <w:t xml:space="preserve">数量安排办法实施细则 </w:t>
      </w:r>
    </w:p>
    <w:p>
      <w:pPr>
        <w:spacing w:beforeLines="0" w:afterLines="0"/>
        <w:jc w:val="center"/>
        <w:rPr>
          <w:rFonts w:hint="eastAsia" w:ascii="仿宋-宋" w:hAnsi="仿宋-宋" w:eastAsia="仿宋-宋"/>
          <w:color w:val="000000"/>
          <w:sz w:val="32"/>
          <w:szCs w:val="24"/>
        </w:rPr>
      </w:pPr>
      <w:r>
        <w:rPr>
          <w:rFonts w:hint="eastAsia" w:ascii="仿宋-宋" w:hAnsi="仿宋-宋" w:eastAsia="仿宋-宋"/>
          <w:color w:val="000000"/>
          <w:sz w:val="32"/>
          <w:szCs w:val="24"/>
        </w:rPr>
        <w:t>（</w:t>
      </w:r>
      <w:r>
        <w:rPr>
          <w:rFonts w:hint="eastAsia" w:ascii="Times New Roman" w:hAnsi="Times New Roman" w:eastAsia="Times New Roman"/>
          <w:color w:val="000000"/>
          <w:sz w:val="32"/>
          <w:szCs w:val="24"/>
        </w:rPr>
        <w:t>2017</w:t>
      </w:r>
      <w:r>
        <w:rPr>
          <w:rFonts w:hint="eastAsia" w:ascii="仿宋-宋" w:hAnsi="仿宋-宋" w:eastAsia="仿宋-宋"/>
          <w:color w:val="000000"/>
          <w:sz w:val="32"/>
          <w:szCs w:val="24"/>
        </w:rPr>
        <w:t xml:space="preserve">年修订） </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为贯彻落实党的十九大精神，推进贸易强国建设，培育外贸竞争新优势，进一步发挥广交会全方位对外开放平台作用，规范广交会品牌展位安排程序，做到展位安排公平、公正，更好地发挥品牌展位的示范和引领作用，根据《中国进出口商品交易会出口展品牌展位数量安排办法》，特制定本实施细则。</w:t>
      </w:r>
    </w:p>
    <w:p>
      <w:pPr>
        <w:spacing w:beforeLines="0" w:afterLines="0"/>
        <w:ind w:firstLine="640"/>
        <w:rPr>
          <w:rFonts w:hint="eastAsia" w:ascii="黑体" w:hAnsi="黑体" w:eastAsia="黑体" w:cs="黑体"/>
          <w:color w:val="000000"/>
          <w:sz w:val="32"/>
          <w:szCs w:val="24"/>
        </w:rPr>
      </w:pPr>
      <w:r>
        <w:rPr>
          <w:rFonts w:hint="eastAsia" w:ascii="黑体" w:hAnsi="黑体" w:eastAsia="黑体" w:cs="黑体"/>
          <w:color w:val="000000"/>
          <w:sz w:val="32"/>
          <w:szCs w:val="24"/>
        </w:rPr>
        <w:t>一、品牌展位数量安排工作机制</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成立由商务部外贸司（以下简称外贸司）牵头，商（协）会（指中国五矿化工进出口商会、中国纺织品进出口商会、中国轻工工艺品进出口商会、中国食品土畜进出口商会、中国机电产品进出口商会、中国医药保健品进出口商会和中国外商投资企业协会，下同）、商务部外贸发展事务局、中国对外贸易中心（以下简称外贸中心）和省级商务主管部门代表参加的品牌展位安排工作小组（以下简称工作小组），负责品牌展位数量安排。其中，省级商务主管部门代表共6人，东部、中部及东北、西部地区各2人，代表由省级商务主管部门按行政排序依次担任。</w:t>
      </w:r>
    </w:p>
    <w:p>
      <w:pPr>
        <w:spacing w:beforeLines="0" w:afterLines="0"/>
        <w:ind w:firstLine="640"/>
        <w:rPr>
          <w:rFonts w:hint="eastAsia" w:ascii="黑体" w:hAnsi="黑体" w:eastAsia="黑体" w:cs="黑体"/>
          <w:color w:val="000000"/>
          <w:sz w:val="32"/>
          <w:szCs w:val="24"/>
        </w:rPr>
      </w:pPr>
    </w:p>
    <w:p>
      <w:pPr>
        <w:spacing w:beforeLines="0" w:afterLines="0"/>
        <w:ind w:firstLine="640"/>
        <w:rPr>
          <w:rFonts w:hint="eastAsia" w:ascii="黑体" w:hAnsi="黑体" w:eastAsia="黑体" w:cs="黑体"/>
          <w:color w:val="000000"/>
          <w:sz w:val="32"/>
          <w:szCs w:val="24"/>
        </w:rPr>
      </w:pPr>
      <w:r>
        <w:rPr>
          <w:rFonts w:hint="eastAsia" w:ascii="黑体" w:hAnsi="黑体" w:eastAsia="黑体" w:cs="黑体"/>
          <w:color w:val="000000"/>
          <w:sz w:val="32"/>
          <w:szCs w:val="24"/>
        </w:rPr>
        <w:t>二、品牌展位的申请条件</w:t>
      </w:r>
    </w:p>
    <w:p>
      <w:pPr>
        <w:spacing w:beforeLines="0" w:afterLines="0"/>
        <w:ind w:firstLine="642"/>
        <w:rPr>
          <w:rFonts w:hint="eastAsia" w:ascii="楷体e眠副浡渀." w:hAnsi="楷体e眠副浡渀." w:eastAsia="楷体e眠副浡渀."/>
          <w:color w:val="000000"/>
          <w:sz w:val="32"/>
          <w:szCs w:val="24"/>
        </w:rPr>
      </w:pPr>
      <w:r>
        <w:rPr>
          <w:rFonts w:hint="eastAsia" w:ascii="楷体e眠副浡渀." w:hAnsi="楷体e眠副浡渀." w:eastAsia="楷体e眠副浡渀."/>
          <w:color w:val="000000"/>
          <w:sz w:val="32"/>
          <w:szCs w:val="24"/>
        </w:rPr>
        <w:t>（一）申请使用品牌展位的企业须具备的条件</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1．企业须依法取得法人营业执照，内资企业须取得进出口企业资格证书或对外贸易经营者备案登记表，外资企业须取得外商投资企业批准证书、外商投资企业设立备案回执或外商投资企业变更备案回执。</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2．企业应出口与所申请展区对应的商品，且过去两年，该企业相关商品平均出口额不低于该展区品牌展位申请企业最低出口额标准。</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3．企业应持有所有人为中方法人或自然人的有效境外注册商标。</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4．企业近三年来无违法、严重违规行为，未受过行政处罚，未发生重大质量或安全责任事故，没有经查证属实的重大质量投诉或索赔。</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5．企业应积极配合商务部开展的调研等相关工作。</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 xml:space="preserve">6．符合上述条件，但属于下列情况之一的企业禁止申请品牌展位： </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（1）国家商务、环保、卫生、人力资源和社会保障、海关、税务、工商、质检、外汇、安监、知识产权、食品药品监管等部门通报、公告或处罚的违规违法企业, 且在通报、公告或处罚期限内的；无明确期限的，按通报、公告或处罚之日起连续六届禁止参展。</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（2）自上次品牌评审以来被司法机关、仲裁机构或知识产权行政管理机关认定侵权的。</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（3）因违规转让或转租（卖）广交会展位，涉及重大产品质量、展品质量或贸易纠纷投诉，涉嫌侵犯知识产权，或违反其他大会相关规定，被大会取消参展资格并处于处罚期限内的。</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（4）因参展表现恶劣、拒不服从大会管理、破坏展览秩序，或违反其他大会相关规定，对广交会声誉或正常运营造成较大不良影响，被大会处罚并处于处罚期限内的。</w:t>
      </w:r>
    </w:p>
    <w:p>
      <w:pPr>
        <w:spacing w:beforeLines="0" w:afterLines="0"/>
        <w:ind w:firstLine="642"/>
        <w:rPr>
          <w:rFonts w:hint="eastAsia" w:ascii="楷体e眠副浡渀." w:hAnsi="楷体e眠副浡渀." w:eastAsia="楷体e眠副浡渀."/>
          <w:color w:val="000000"/>
          <w:sz w:val="32"/>
          <w:szCs w:val="24"/>
        </w:rPr>
      </w:pPr>
      <w:r>
        <w:rPr>
          <w:rFonts w:hint="eastAsia" w:ascii="楷体e眠副浡渀." w:hAnsi="楷体e眠副浡渀." w:eastAsia="楷体e眠副浡渀."/>
          <w:color w:val="000000"/>
          <w:sz w:val="32"/>
          <w:szCs w:val="24"/>
        </w:rPr>
        <w:t>（二）申请使用品牌展位企业的展品须具备的条件</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1．展品须符合所申请展区的展品目录。详见《中国进出口商品交易会参展展品范围（出口展）》。</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2．展品须符合《中华人民共和国产品质量法》、《中华人民共和国进出口商品检验法》及其他有关出口产品质量法律法规的规定。涉及商标、专利、版权的，须取得合法权利证书或使用许可合同。</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 xml:space="preserve">3．符合上述条件，但属下列情况之一的展品禁止参展： </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（1）在商务、出入境检验检疫机构、药品等质量监督管理部门有不良记录且未经复检合格的。</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（2）被司法机关、仲裁机构或知识产权行政管理机关认定侵权的。</w:t>
      </w:r>
    </w:p>
    <w:p>
      <w:pPr>
        <w:spacing w:beforeLines="0" w:afterLines="0"/>
        <w:ind w:firstLine="640"/>
        <w:rPr>
          <w:rFonts w:hint="eastAsia" w:ascii="黑体" w:hAnsi="黑体" w:eastAsia="黑体" w:cs="黑体"/>
          <w:color w:val="000000"/>
          <w:sz w:val="32"/>
          <w:szCs w:val="24"/>
        </w:rPr>
      </w:pPr>
      <w:r>
        <w:rPr>
          <w:rFonts w:hint="eastAsia" w:ascii="黑体" w:hAnsi="黑体" w:eastAsia="黑体" w:cs="黑体"/>
          <w:color w:val="000000"/>
          <w:sz w:val="32"/>
          <w:szCs w:val="24"/>
        </w:rPr>
        <w:t>三、品牌展位的申报要求</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 xml:space="preserve">（一）企业根据《中国进出口商品交易会参展展品范围（出口展）》，按照大会公布的品牌展位类别选择申请参展的展区，在规定时限内通过广交会官方网站的参展易捷通系统，提交品牌展位申请信息和本企业相关资质材料，申请成功后打印申请表（易捷通系统自动生成，每个申请展区打印一份）并盖章确认，连同相关证明材料复印件按展区报送所属交易团。证明材料范围如下： </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1．企业法人营业执照。</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2．进出口企业资格证书或对外贸易经营者备案登记表、外商投资企业批准证书、外商投资企业设立备案回执或外商投资企业变更备案回执，以及海关报关单位注册登记证书（如有多个证书应全部提交）。</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3．企业进入商务部认定的外贸转型升级基地且主营业务与该基地特色产业相一致，已建设国际营销服务体系，参加商务部主办或重点支持的境外品牌展的证明材料。</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4．实用新型、发明专利、外观专利或版权登记证书，国家级高新技术企业等证明材料，参与国家标准或行业标准制定或修订的证明材料。</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5．通过国际通行的质量管理体系、环境管理体系和行业认证的证明材料。</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6．有效的境内外注册商标证明文件。</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7．本办法列明的相关母子公司关系证明文件和授权书等。</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品牌展位分展区进行申报，上述材料每个申请展区提交一套。</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（二）同一展区品牌展位的申请数量原则上不少于4个展位，车辆、工程农机、医药保健品及医疗器械、食品展区原则上不少于2个展位，并均需绿色特装布展。</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（三）同一品牌展位仅限本企业使用，不得与有联合经营、供货或代理关系的企业共同申请或使用。</w:t>
      </w:r>
    </w:p>
    <w:p>
      <w:pPr>
        <w:spacing w:beforeLines="0" w:afterLines="0"/>
        <w:ind w:firstLine="640"/>
        <w:rPr>
          <w:rFonts w:hint="eastAsia" w:ascii="黑体" w:hAnsi="黑体" w:eastAsia="黑体" w:cs="黑体"/>
          <w:color w:val="000000"/>
          <w:sz w:val="32"/>
          <w:szCs w:val="24"/>
        </w:rPr>
      </w:pPr>
      <w:r>
        <w:rPr>
          <w:rFonts w:hint="eastAsia" w:ascii="黑体" w:hAnsi="黑体" w:eastAsia="黑体" w:cs="黑体"/>
          <w:color w:val="000000"/>
          <w:sz w:val="32"/>
          <w:szCs w:val="24"/>
        </w:rPr>
        <w:t>四、品牌展位的评审流程</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 xml:space="preserve">（一）地方交易团组团单位负责受理本地区企业品牌展位申请，中央企业交易团组团单位负责受理国资委管理企业品牌展位申请。品牌展位申报截止后，交易团在10个工作日内完成以下预审推荐工作： </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 xml:space="preserve">1．预审。按照品牌展位申请条件、品牌展位安排评审标准的有关规定，通过广交会网络管理服务系统下载本团企业申请资料，对本团申请企业的展位使用条件进行初步审核。其中，出口额一项须严格按照海关统计。对符合展位使用条件的企业进行预审并打分。 </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2．推荐。将得分在25分（不含行业自律3分和广交会参展表现5分）以上的申请企业列入本团品牌展位使用企业推荐名单，通过广交会网络管理服务系统上传预审结果和所推荐企业信息。将本团品牌展位推荐企业汇总表和企业书面申报材料寄送相关商（协）会。汇总表电子版由广交会网络管理服务系统生成，外贸司、外贸中心可备案查询。</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（二）商（协）会在18个工作日内完成以下复核、公示和评审工作：</w:t>
      </w:r>
    </w:p>
    <w:p>
      <w:pPr>
        <w:spacing w:beforeLines="0" w:afterLines="0"/>
        <w:ind w:firstLine="640"/>
        <w:rPr>
          <w:rFonts w:hint="eastAsia" w:ascii="仿宋_GB2312" w:hAnsi="仿宋_GB2312" w:eastAsia="仿宋_GB2312" w:cs="仿宋_GB2312"/>
          <w:color w:val="000000"/>
          <w:sz w:val="32"/>
          <w:szCs w:val="24"/>
          <w:lang w:val="en-US" w:eastAsia="zh-CN"/>
        </w:rPr>
      </w:pPr>
      <w:r>
        <w:rPr>
          <w:rFonts w:hint="eastAsia" w:ascii="仿宋_GB2312" w:hAnsi="仿宋_GB2312" w:eastAsia="仿宋_GB2312" w:cs="仿宋_GB2312"/>
          <w:color w:val="000000"/>
          <w:sz w:val="32"/>
          <w:szCs w:val="24"/>
        </w:rPr>
        <w:t xml:space="preserve">1．复核。通过广交会网络管理服务系统下载品牌企业评审表格，根据品牌展位申请条件、品牌展位安排评审标准、企业出口与所申请展区对应商品的海关统计出口额等，完成对各交易团推荐企业的品牌展位申请条件复核。 </w:t>
      </w:r>
      <w:r>
        <w:rPr>
          <w:rFonts w:hint="eastAsia" w:ascii="仿宋_GB2312" w:hAnsi="仿宋_GB2312" w:eastAsia="仿宋_GB2312" w:cs="仿宋_GB2312"/>
          <w:color w:val="000000"/>
          <w:sz w:val="32"/>
          <w:szCs w:val="24"/>
          <w:lang w:val="en-US" w:eastAsia="zh-CN"/>
        </w:rPr>
        <w:t xml:space="preserve">  </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2．公示。对经复核认定可以使用母（子）公司资质参加评审的母、子公司名单及其所使用的资质进行公示。</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3．评审。分展区对推荐企业进行统一评审（行业自律分值由商协会负责评审，广交会参展表现分值由外贸中心负责评审并提交商协会汇总），评审结果通过广交会网络管理服务系统上传，并抄报外贸司。</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（三）工作小组在5个工作日内分展区随机抽取样本，对商（协）会评审结果进行复核。商（协）会根据工作小组复核结果，对有关展区品牌展位使用推荐企业的评审结果进行相应调整，并将调整结果报外贸司。</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（四）工作小组委托相关商（协）会在5个工作日内，根据调整后的企业评审结果，提出品牌展位数量初步安排方案。</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（五）外贸司分展区公示企业评审结果及品牌展位数量初步安排方案，在5个工作日内根据公示结果进行调整，形成品牌展位数量最终安排方案，并在3个工作日内通知交易团组织相关企业参展。</w:t>
      </w:r>
    </w:p>
    <w:p>
      <w:pPr>
        <w:spacing w:beforeLines="0" w:afterLines="0"/>
        <w:ind w:firstLine="640"/>
        <w:rPr>
          <w:rFonts w:hint="eastAsia" w:ascii="黑体" w:hAnsi="黑体" w:eastAsia="黑体" w:cs="黑体"/>
          <w:color w:val="000000"/>
          <w:sz w:val="32"/>
          <w:szCs w:val="24"/>
        </w:rPr>
      </w:pPr>
      <w:r>
        <w:rPr>
          <w:rFonts w:hint="eastAsia" w:ascii="黑体" w:hAnsi="黑体" w:eastAsia="黑体" w:cs="黑体"/>
          <w:color w:val="000000"/>
          <w:sz w:val="32"/>
          <w:szCs w:val="24"/>
        </w:rPr>
        <w:t>五、品牌展位评审的相关要求</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（一）对品牌展位使用企业原则上实行二年一评制，其展位数量安排原则上保持四届不变。</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（二）同一展区内的品牌展位申请企业按照评审得分高低依次安排展位数量。不同展区设定不同的展位数量上下限。特殊情况由工作小组根据实际情况确定。</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（三）品牌展位安排以扶优扶强为主，同时贯彻落实区域协调发展战略，原则上确保有需求的交易团至少有一家企业获得品牌展位。</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（四）允许母公司使用其全资子公司、其绝对控股子公司或相对控股子公司相关资质参加评审。允许子公司使用对其绝对控股的母公司或该母公司绝对控股的其他子公司的相关资质参加评审。</w:t>
      </w:r>
    </w:p>
    <w:p>
      <w:pPr>
        <w:spacing w:beforeLines="0" w:afterLines="0"/>
        <w:ind w:firstLine="640"/>
        <w:rPr>
          <w:rFonts w:hint="eastAsia" w:ascii="黑体" w:hAnsi="黑体" w:eastAsia="黑体" w:cs="黑体"/>
          <w:color w:val="000000"/>
          <w:sz w:val="32"/>
          <w:szCs w:val="24"/>
        </w:rPr>
      </w:pPr>
      <w:r>
        <w:rPr>
          <w:rFonts w:hint="eastAsia" w:ascii="黑体" w:hAnsi="黑体" w:eastAsia="黑体" w:cs="黑体"/>
          <w:color w:val="000000"/>
          <w:sz w:val="32"/>
          <w:szCs w:val="24"/>
        </w:rPr>
        <w:t>六、退回和收回品牌展位的重新安排</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（一）企业申请退回品牌展位按以下程序办理：</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1．品牌展位使用企业在规定时间内向所属交易团递交书面申请，提出退回品牌展位的类别、数量和原因。</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2．相关交易团审核同意后，将审核意见连同企业书面申请一并提交外贸中心，同时抄送相关商（协）会。</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 xml:space="preserve">（二）如品牌企业出现以下情形但未提交品牌展位退回书面申请，企业所属交易团在书面告知企业后，应提出书面退回申请（须充分说明理由或提交相关证明），报相关商协会（同时抄送外贸中心）,相关商协会提出书面意见后，报外贸中心： </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1．未在大会或交易团规定时间（以当届通知为准）缴纳当届展位预订款或当届展位费，视同放弃参展。</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2．在经营或财务状况方面出现重大问题，如企业严重违法违规、濒临破产、长时间联系中断、举债严重等。</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3．国家商务、环保、卫生、人力资源和社会保障、海关、税务、工商、质检、外汇、安监、知识产权、食品药品监管等部门通报、公告或处罚的违规违法企业, 且在通报、公告或处罚期限内的；无明确期限的，按通报、公告或处罚之日起连续六届广交会计。</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4．被司法机关、仲裁机构或知识产权行政管理机关认定侵权的。</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5．其他不适合继续参展的情形。</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（三）品牌展位使用企业在展览举办期间出现本细则</w:t>
      </w:r>
      <w:r>
        <w:rPr>
          <w:rFonts w:hint="default" w:ascii="仿宋_GB2312" w:hAnsi="仿宋_GB2312" w:eastAsia="仿宋_GB2312" w:cs="仿宋_GB2312"/>
          <w:color w:val="000000"/>
          <w:sz w:val="32"/>
          <w:szCs w:val="24"/>
        </w:rPr>
        <w:t>“</w:t>
      </w:r>
      <w:r>
        <w:rPr>
          <w:rFonts w:hint="eastAsia" w:ascii="仿宋_GB2312" w:hAnsi="仿宋_GB2312" w:eastAsia="仿宋_GB2312" w:cs="仿宋_GB2312"/>
          <w:color w:val="000000"/>
          <w:sz w:val="32"/>
          <w:szCs w:val="24"/>
        </w:rPr>
        <w:t>二、（一）申请使用品牌展位的企业需具备的条件</w:t>
      </w:r>
      <w:r>
        <w:rPr>
          <w:rFonts w:hint="default" w:ascii="仿宋_GB2312" w:hAnsi="仿宋_GB2312" w:eastAsia="仿宋_GB2312" w:cs="仿宋_GB2312"/>
          <w:color w:val="000000"/>
          <w:sz w:val="32"/>
          <w:szCs w:val="24"/>
        </w:rPr>
        <w:t>”</w:t>
      </w:r>
      <w:r>
        <w:rPr>
          <w:rFonts w:hint="eastAsia" w:ascii="仿宋_GB2312" w:hAnsi="仿宋_GB2312" w:eastAsia="仿宋_GB2312" w:cs="仿宋_GB2312"/>
          <w:color w:val="000000"/>
          <w:sz w:val="32"/>
          <w:szCs w:val="24"/>
        </w:rPr>
        <w:t>中第5点描述的禁止参展情形的，大会将视情收回其相应展区品牌展位并取消其参展资格。</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 xml:space="preserve">（四）企业退回及大会收回的品牌展位，按以下程序重新安排： </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1．外贸中心汇总各交易团提交的退回品牌展位申请及大会收回的品牌展位类别和数量，分展区提交相关商（协）会。</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 xml:space="preserve">2．相关商（协）会根据品牌展位评审有关规定并主要结合以下原则，将品牌展位重新安排初步方案（含安排方案和具体说明）提交外贸中心： </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如同一展区收回或退回的品牌展位数少于该展区单个企业品牌展位数下限，原则上追加给该展区现有品牌企业,结合企业需求满足情况和行业地位综合安排。如同一展区收回或退回的品牌展位数等于或多于单个企业品牌展位数下限，原则上按照分数高低排序安排给该展区参与最近一次品牌评审的候补品牌展位申请企业；未严格按照分数高低排序安排的，需提交详细的书面理由。</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3．外贸中心汇总各商（协）会重新安排的初步方案，并进行复核后，形成调整安排方案报外贸司审定。</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4．外贸司公示重新安排方案后，向相关交易团下达品牌展位调整安排通知，抄送相关商（协）会、外贸中心。</w:t>
      </w:r>
    </w:p>
    <w:p>
      <w:pPr>
        <w:spacing w:beforeLines="0" w:afterLines="0"/>
        <w:ind w:firstLine="640"/>
        <w:rPr>
          <w:rFonts w:hint="eastAsia" w:ascii="仿宋_GB2312" w:hAnsi="仿宋_GB2312" w:eastAsia="仿宋_GB2312" w:cs="仿宋_GB2312"/>
          <w:color w:val="000000"/>
          <w:sz w:val="32"/>
          <w:szCs w:val="24"/>
        </w:rPr>
      </w:pPr>
      <w:r>
        <w:rPr>
          <w:rFonts w:hint="eastAsia" w:ascii="仿宋_GB2312" w:hAnsi="仿宋_GB2312" w:eastAsia="仿宋_GB2312" w:cs="仿宋_GB2312"/>
          <w:color w:val="000000"/>
          <w:sz w:val="32"/>
          <w:szCs w:val="24"/>
        </w:rPr>
        <w:t>（五）退回或被收回品牌展位的企业，如在相应展区剩余品牌展位数小于该展区品牌展位数下限，则由大会收回其剩余所有品牌展位，直至下一次品牌展位评审为止。</w:t>
      </w:r>
    </w:p>
    <w:p>
      <w:pPr>
        <w:spacing w:beforeLines="0" w:afterLines="0"/>
        <w:ind w:firstLine="640"/>
        <w:rPr>
          <w:rFonts w:hint="eastAsia" w:ascii="黑体" w:hAnsi="黑体" w:eastAsia="黑体" w:cs="黑体"/>
          <w:color w:val="000000"/>
          <w:sz w:val="32"/>
          <w:szCs w:val="24"/>
        </w:rPr>
      </w:pPr>
      <w:r>
        <w:rPr>
          <w:rFonts w:hint="eastAsia" w:ascii="黑体" w:hAnsi="黑体" w:eastAsia="黑体" w:cs="黑体"/>
          <w:color w:val="000000"/>
          <w:sz w:val="32"/>
          <w:szCs w:val="24"/>
        </w:rPr>
        <w:t>七、本细则由商务部解释。此前有关规定与本细则不符的，以本细则为准。</w:t>
      </w:r>
    </w:p>
    <w:p>
      <w:pPr>
        <w:pStyle w:val="2"/>
        <w:rPr>
          <w:rFonts w:hint="eastAsia"/>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spacing w:line="600" w:lineRule="exact"/>
        <w:rPr>
          <w:rFonts w:ascii="Times New Roman" w:hAnsi="Times New Roman" w:eastAsia="黑体" w:cs="Times New Roman"/>
          <w:sz w:val="32"/>
        </w:rPr>
      </w:pPr>
    </w:p>
    <w:p>
      <w:pPr>
        <w:spacing w:line="600" w:lineRule="exact"/>
        <w:rPr>
          <w:rFonts w:hint="eastAsia" w:ascii="Times New Roman" w:hAnsi="Times New Roman" w:eastAsia="黑体" w:cs="Times New Roman"/>
          <w:sz w:val="32"/>
          <w:lang w:eastAsia="zh-CN"/>
        </w:rPr>
      </w:pPr>
      <w:r>
        <w:rPr>
          <w:rFonts w:ascii="Times New Roman" w:hAnsi="Times New Roman" w:eastAsia="黑体" w:cs="Times New Roman"/>
          <w:sz w:val="32"/>
        </w:rPr>
        <w:t>附件</w:t>
      </w:r>
      <w:r>
        <w:rPr>
          <w:rFonts w:hint="eastAsia" w:ascii="Times New Roman" w:hAnsi="Times New Roman" w:eastAsia="黑体" w:cs="Times New Roman"/>
          <w:sz w:val="32"/>
          <w:lang w:val="en-US" w:eastAsia="zh-CN"/>
        </w:rPr>
        <w:t>2</w:t>
      </w:r>
    </w:p>
    <w:p>
      <w:pPr>
        <w:widowControl/>
        <w:spacing w:line="815" w:lineRule="atLeas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参展企业资格标准</w:t>
      </w:r>
    </w:p>
    <w:p>
      <w:pPr>
        <w:adjustRightInd w:val="0"/>
        <w:snapToGrid w:val="0"/>
        <w:spacing w:line="560" w:lineRule="exact"/>
        <w:ind w:firstLine="640" w:firstLineChars="200"/>
        <w:jc w:val="left"/>
        <w:rPr>
          <w:rFonts w:ascii="黑体" w:hAnsi="黑体" w:eastAsia="黑体" w:cs="Times New Roman"/>
          <w:sz w:val="32"/>
          <w:szCs w:val="32"/>
        </w:rPr>
      </w:pPr>
      <w:r>
        <w:rPr>
          <w:rFonts w:ascii="黑体" w:hAnsi="黑体" w:eastAsia="黑体" w:cs="Times New Roman"/>
          <w:sz w:val="32"/>
          <w:szCs w:val="32"/>
        </w:rPr>
        <w:t>一、依法取得法人营业执照和外贸经营者备案登记证明，并已办理进出口企业代码。</w:t>
      </w:r>
    </w:p>
    <w:p>
      <w:pPr>
        <w:adjustRightInd w:val="0"/>
        <w:snapToGrid w:val="0"/>
        <w:spacing w:line="560" w:lineRule="exact"/>
        <w:ind w:firstLine="640" w:firstLineChars="200"/>
        <w:jc w:val="left"/>
        <w:rPr>
          <w:rFonts w:ascii="黑体" w:hAnsi="黑体" w:eastAsia="黑体" w:cs="Times New Roman"/>
          <w:sz w:val="32"/>
          <w:szCs w:val="32"/>
        </w:rPr>
      </w:pPr>
      <w:r>
        <w:rPr>
          <w:rFonts w:ascii="黑体" w:hAnsi="黑体" w:eastAsia="黑体" w:cs="Times New Roman"/>
          <w:sz w:val="32"/>
          <w:szCs w:val="32"/>
        </w:rPr>
        <w:t>二、广交会统计口径下企业出口金额须达到以下最低标准</w:t>
      </w:r>
    </w:p>
    <w:p>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（注：广交会统计口径下的出口额是指中国海关统计的一般贸易和进料加工贸易出口额中，扣除非看样成交产品如大米、大豆、原油、成品油、煤炭、焦碳、金属及非金属矿产品、烟草等后的出口额）：</w:t>
      </w:r>
    </w:p>
    <w:tbl>
      <w:tblPr>
        <w:tblStyle w:val="16"/>
        <w:tblW w:w="8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2413"/>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地区</w:t>
            </w:r>
          </w:p>
        </w:tc>
        <w:tc>
          <w:tcPr>
            <w:tcW w:w="241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企业类型</w:t>
            </w:r>
          </w:p>
        </w:tc>
        <w:tc>
          <w:tcPr>
            <w:tcW w:w="3020"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金额（万美元）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沿海</w:t>
            </w:r>
          </w:p>
        </w:tc>
        <w:tc>
          <w:tcPr>
            <w:tcW w:w="241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流通型</w:t>
            </w:r>
          </w:p>
        </w:tc>
        <w:tc>
          <w:tcPr>
            <w:tcW w:w="3020"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沿海</w:t>
            </w:r>
          </w:p>
        </w:tc>
        <w:tc>
          <w:tcPr>
            <w:tcW w:w="241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非流通型</w:t>
            </w:r>
          </w:p>
        </w:tc>
        <w:tc>
          <w:tcPr>
            <w:tcW w:w="3020"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3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中部及东北</w:t>
            </w:r>
          </w:p>
        </w:tc>
        <w:tc>
          <w:tcPr>
            <w:tcW w:w="241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流通型</w:t>
            </w:r>
          </w:p>
        </w:tc>
        <w:tc>
          <w:tcPr>
            <w:tcW w:w="3020"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中部及东北</w:t>
            </w:r>
          </w:p>
        </w:tc>
        <w:tc>
          <w:tcPr>
            <w:tcW w:w="241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非流通型</w:t>
            </w:r>
          </w:p>
        </w:tc>
        <w:tc>
          <w:tcPr>
            <w:tcW w:w="3020"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西部</w:t>
            </w:r>
          </w:p>
        </w:tc>
        <w:tc>
          <w:tcPr>
            <w:tcW w:w="241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流通型</w:t>
            </w:r>
          </w:p>
        </w:tc>
        <w:tc>
          <w:tcPr>
            <w:tcW w:w="3020"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西部</w:t>
            </w:r>
          </w:p>
        </w:tc>
        <w:tc>
          <w:tcPr>
            <w:tcW w:w="241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非流通型</w:t>
            </w:r>
          </w:p>
        </w:tc>
        <w:tc>
          <w:tcPr>
            <w:tcW w:w="3020"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20</w:t>
            </w:r>
          </w:p>
        </w:tc>
      </w:tr>
    </w:tbl>
    <w:p>
      <w:pPr>
        <w:adjustRightInd w:val="0"/>
        <w:snapToGrid w:val="0"/>
        <w:spacing w:line="560" w:lineRule="exact"/>
        <w:ind w:firstLine="640" w:firstLineChars="200"/>
        <w:jc w:val="left"/>
        <w:rPr>
          <w:rFonts w:ascii="黑体" w:hAnsi="黑体" w:eastAsia="黑体" w:cs="Times New Roman"/>
          <w:sz w:val="32"/>
          <w:szCs w:val="32"/>
        </w:rPr>
      </w:pPr>
      <w:r>
        <w:rPr>
          <w:rFonts w:ascii="黑体" w:hAnsi="黑体" w:eastAsia="黑体" w:cs="Times New Roman"/>
          <w:sz w:val="32"/>
          <w:szCs w:val="32"/>
        </w:rPr>
        <w:t>三、属下列情况之一的企业禁止参展：</w:t>
      </w:r>
    </w:p>
    <w:p>
      <w:pPr>
        <w:adjustRightInd w:val="0"/>
        <w:snapToGrid w:val="0"/>
        <w:spacing w:line="560" w:lineRule="exact"/>
        <w:ind w:firstLine="640" w:firstLineChars="200"/>
        <w:jc w:val="left"/>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（一）商务部向社会公告的违规违法企业，在公告期内禁止参展。</w:t>
      </w:r>
    </w:p>
    <w:p>
      <w:pPr>
        <w:adjustRightInd w:val="0"/>
        <w:snapToGrid w:val="0"/>
        <w:spacing w:line="560" w:lineRule="exact"/>
        <w:ind w:firstLine="640" w:firstLineChars="200"/>
        <w:jc w:val="left"/>
        <w:rPr>
          <w:rFonts w:ascii="楷体_GB2312" w:hAnsi="Times New Roman" w:eastAsia="楷体_GB2312" w:cs="Times New Roman"/>
          <w:sz w:val="32"/>
          <w:szCs w:val="32"/>
        </w:rPr>
      </w:pPr>
      <w:r>
        <w:rPr>
          <w:rFonts w:ascii="楷体_GB2312" w:hAnsi="Times New Roman" w:eastAsia="楷体_GB2312" w:cs="Times New Roman"/>
          <w:sz w:val="32"/>
          <w:szCs w:val="32"/>
        </w:rPr>
        <w:t>（二）国家工商、海关、税务、质检、外汇、环保、药监等部门通报的违规违法企业, 在处罚期限内禁止参展；无处罚期限的，从处罚之日起连续六届禁止参展。</w:t>
      </w:r>
    </w:p>
    <w:p>
      <w:pPr>
        <w:adjustRightInd w:val="0"/>
        <w:snapToGrid w:val="0"/>
        <w:spacing w:line="560" w:lineRule="exact"/>
        <w:ind w:firstLine="640" w:firstLineChars="200"/>
        <w:jc w:val="left"/>
        <w:rPr>
          <w:rFonts w:ascii="楷体_GB2312" w:hAnsi="Times New Roman" w:eastAsia="楷体_GB2312" w:cs="Times New Roman"/>
          <w:sz w:val="32"/>
          <w:szCs w:val="32"/>
        </w:rPr>
      </w:pPr>
      <w:r>
        <w:rPr>
          <w:rFonts w:ascii="楷体_GB2312" w:hAnsi="Times New Roman" w:eastAsia="楷体_GB2312" w:cs="Times New Roman"/>
          <w:sz w:val="32"/>
          <w:szCs w:val="32"/>
        </w:rPr>
        <w:t>（三）因违规转让或转租（卖）广交会展位、涉嫌展品质量与贸易纠纷投诉、知识产权侵权等行为违反大会相关规定，并处于被取消参展资格处罚期限内的企业。</w:t>
      </w:r>
    </w:p>
    <w:p>
      <w:pPr>
        <w:adjustRightInd w:val="0"/>
        <w:snapToGrid w:val="0"/>
        <w:spacing w:line="560" w:lineRule="exact"/>
        <w:ind w:firstLine="640" w:firstLineChars="200"/>
        <w:jc w:val="left"/>
        <w:rPr>
          <w:rFonts w:ascii="楷体_GB2312" w:hAnsi="Times New Roman" w:eastAsia="楷体_GB2312" w:cs="Times New Roman"/>
          <w:sz w:val="32"/>
          <w:szCs w:val="32"/>
        </w:rPr>
      </w:pPr>
      <w:r>
        <w:rPr>
          <w:rFonts w:ascii="楷体_GB2312" w:hAnsi="Times New Roman" w:eastAsia="楷体_GB2312" w:cs="Times New Roman"/>
          <w:sz w:val="32"/>
          <w:szCs w:val="32"/>
        </w:rPr>
        <w:t>（四）因拒不服从大会管理、破坏展览秩序等其他行为，被大会认为对广交会声誉或正常运营造成较大不良影响，被取消参展资格的企业。</w:t>
      </w:r>
    </w:p>
    <w:p>
      <w:pPr>
        <w:adjustRightInd w:val="0"/>
        <w:snapToGrid w:val="0"/>
        <w:spacing w:line="560" w:lineRule="exact"/>
        <w:ind w:firstLine="640" w:firstLineChars="200"/>
        <w:jc w:val="left"/>
        <w:rPr>
          <w:rFonts w:ascii="黑体" w:hAnsi="黑体" w:eastAsia="黑体" w:cs="Times New Roman"/>
          <w:sz w:val="32"/>
          <w:szCs w:val="32"/>
        </w:rPr>
      </w:pPr>
      <w:r>
        <w:rPr>
          <w:rFonts w:ascii="黑体" w:hAnsi="黑体" w:eastAsia="黑体" w:cs="Times New Roman"/>
          <w:sz w:val="32"/>
          <w:szCs w:val="32"/>
        </w:rPr>
        <w:t>四、参展展品要求</w:t>
      </w:r>
    </w:p>
    <w:p>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属下列情况之一的展品禁止参展：</w:t>
      </w:r>
    </w:p>
    <w:p>
      <w:pPr>
        <w:adjustRightInd w:val="0"/>
        <w:snapToGrid w:val="0"/>
        <w:spacing w:line="560" w:lineRule="exact"/>
        <w:ind w:firstLine="640" w:firstLineChars="200"/>
        <w:jc w:val="left"/>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（一）《中国进出口商品交易会参展展品范围（出口展）》规定之外的展品。</w:t>
      </w:r>
    </w:p>
    <w:p>
      <w:pPr>
        <w:adjustRightInd w:val="0"/>
        <w:snapToGrid w:val="0"/>
        <w:spacing w:line="560" w:lineRule="exact"/>
        <w:ind w:firstLine="640" w:firstLineChars="200"/>
        <w:jc w:val="left"/>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（二）不符合《中华人民共和国产品质量法》、《中华人民共和国进出口商品检验法》及其他有关出口产品质量法律法规规定的展品。</w:t>
      </w:r>
    </w:p>
    <w:p>
      <w:pPr>
        <w:adjustRightInd w:val="0"/>
        <w:snapToGrid w:val="0"/>
        <w:spacing w:line="560" w:lineRule="exact"/>
        <w:ind w:firstLine="640" w:firstLineChars="200"/>
        <w:jc w:val="left"/>
        <w:rPr>
          <w:rFonts w:ascii="楷体_GB2312" w:hAnsi="Times New Roman" w:eastAsia="楷体_GB2312" w:cs="Times New Roman"/>
          <w:sz w:val="32"/>
          <w:szCs w:val="32"/>
        </w:rPr>
      </w:pPr>
      <w:r>
        <w:rPr>
          <w:rFonts w:hint="eastAsia" w:ascii="楷体_GB2312" w:hAnsi="Times New Roman" w:eastAsia="楷体_GB2312" w:cs="Times New Roman"/>
          <w:sz w:val="32"/>
          <w:szCs w:val="32"/>
        </w:rPr>
        <w:t>（三）涉及商标、专利、版权，但未取得合法权利证书或使用许可合同的展品。</w:t>
      </w:r>
    </w:p>
    <w:p>
      <w:pPr>
        <w:adjustRightInd w:val="0"/>
        <w:snapToGrid w:val="0"/>
        <w:spacing w:line="560" w:lineRule="exact"/>
        <w:ind w:firstLine="640" w:firstLineChars="200"/>
        <w:jc w:val="left"/>
        <w:rPr>
          <w:rFonts w:ascii="楷体_GB2312" w:hAnsi="Times New Roman" w:eastAsia="楷体_GB2312" w:cs="Times New Roman"/>
          <w:sz w:val="32"/>
          <w:szCs w:val="32"/>
        </w:rPr>
      </w:pPr>
      <w:r>
        <w:rPr>
          <w:rFonts w:hint="eastAsia" w:ascii="楷体_GB2312" w:hAnsi="Times New Roman" w:eastAsia="楷体_GB2312" w:cs="Times New Roman"/>
          <w:sz w:val="32"/>
          <w:szCs w:val="32"/>
        </w:rPr>
        <w:t>（四）在商务、出入境检验检疫机构、药品等质量监督管理部门有不良记录且未经复检合格的展品。</w:t>
      </w:r>
    </w:p>
    <w:p>
      <w:pPr>
        <w:adjustRightInd w:val="0"/>
        <w:snapToGrid w:val="0"/>
        <w:spacing w:line="560" w:lineRule="exact"/>
        <w:ind w:firstLine="640" w:firstLineChars="200"/>
        <w:jc w:val="left"/>
        <w:rPr>
          <w:rFonts w:ascii="楷体_GB2312" w:hAnsi="Times New Roman" w:eastAsia="楷体_GB2312" w:cs="Times New Roman"/>
          <w:sz w:val="32"/>
          <w:szCs w:val="32"/>
        </w:rPr>
      </w:pPr>
      <w:r>
        <w:rPr>
          <w:rFonts w:hint="eastAsia" w:ascii="楷体_GB2312" w:hAnsi="Times New Roman" w:eastAsia="楷体_GB2312" w:cs="Times New Roman"/>
          <w:sz w:val="32"/>
          <w:szCs w:val="32"/>
        </w:rPr>
        <w:t>（五）被司法机关、仲裁机关或知识产权行政管理机关认定侵权的展品。</w:t>
      </w:r>
    </w:p>
    <w:p>
      <w:pPr>
        <w:adjustRightInd w:val="0"/>
        <w:snapToGrid w:val="0"/>
        <w:spacing w:line="560" w:lineRule="exact"/>
        <w:ind w:firstLine="640" w:firstLineChars="200"/>
        <w:jc w:val="left"/>
        <w:rPr>
          <w:rFonts w:ascii="黑体" w:hAnsi="黑体" w:eastAsia="黑体" w:cs="Times New Roman"/>
          <w:sz w:val="32"/>
          <w:szCs w:val="32"/>
        </w:rPr>
      </w:pPr>
      <w:r>
        <w:rPr>
          <w:rFonts w:ascii="黑体" w:hAnsi="黑体" w:eastAsia="黑体" w:cs="Times New Roman"/>
          <w:sz w:val="32"/>
          <w:szCs w:val="32"/>
        </w:rPr>
        <w:t>五、参展企业须承诺接受和遵守广交会出口展的有关条款和管理规定，包括《广交会出口展展位使用责任书》、《中国进出口商品交易会出口展参展须知》、《中国进出口商品交易会出口展服务指南》等。</w:t>
      </w:r>
    </w:p>
    <w:p>
      <w:pPr>
        <w:pStyle w:val="2"/>
        <w:jc w:val="both"/>
        <w:rPr>
          <w:rFonts w:ascii="黑体" w:hAnsi="黑体" w:eastAsia="黑体" w:cs="Times New Roman"/>
          <w:sz w:val="32"/>
          <w:szCs w:val="32"/>
        </w:rPr>
      </w:pPr>
    </w:p>
    <w:p>
      <w:pPr>
        <w:spacing w:line="600" w:lineRule="exact"/>
        <w:rPr>
          <w:rFonts w:ascii="Times New Roman" w:hAnsi="Times New Roman" w:eastAsia="仿宋_GB2312" w:cs="Times New Roman"/>
          <w:b/>
          <w:sz w:val="32"/>
        </w:rPr>
      </w:pPr>
      <w:r>
        <w:rPr>
          <w:rFonts w:ascii="Times New Roman" w:hAnsi="Times New Roman" w:eastAsia="黑体" w:cs="Times New Roman"/>
          <w:sz w:val="32"/>
        </w:rPr>
        <w:t>附件</w:t>
      </w:r>
      <w:r>
        <w:rPr>
          <w:rFonts w:hint="eastAsia" w:ascii="Times New Roman" w:hAnsi="Times New Roman" w:eastAsia="黑体" w:cs="Times New Roman"/>
          <w:sz w:val="32"/>
          <w:lang w:val="en-US" w:eastAsia="zh-CN"/>
        </w:rPr>
        <w:t>3</w:t>
      </w:r>
    </w:p>
    <w:p>
      <w:pPr>
        <w:widowControl/>
        <w:spacing w:line="815" w:lineRule="atLeas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新能源、宠物用品展区展位申请相关说明</w:t>
      </w:r>
    </w:p>
    <w:p>
      <w:pPr>
        <w:spacing w:line="600" w:lineRule="exact"/>
        <w:jc w:val="center"/>
        <w:rPr>
          <w:rFonts w:ascii="Times New Roman" w:hAnsi="Times New Roman"/>
          <w:b/>
          <w:sz w:val="44"/>
          <w:szCs w:val="44"/>
          <w:highlight w:val="none"/>
        </w:rPr>
      </w:pP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textAlignment w:val="auto"/>
        <w:outlineLvl w:val="9"/>
        <w:rPr>
          <w:rFonts w:ascii="Times New Roman" w:hAnsi="Times New Roman" w:eastAsia="黑体"/>
          <w:sz w:val="32"/>
          <w:szCs w:val="32"/>
          <w:highlight w:val="none"/>
        </w:rPr>
      </w:pPr>
      <w:r>
        <w:rPr>
          <w:rFonts w:hint="eastAsia" w:ascii="Times New Roman" w:hAnsi="Times New Roman" w:eastAsia="黑体"/>
          <w:sz w:val="32"/>
          <w:szCs w:val="32"/>
          <w:highlight w:val="none"/>
        </w:rPr>
        <w:t>一、展位使用条件</w:t>
      </w:r>
    </w:p>
    <w:p>
      <w:pPr>
        <w:keepNext w:val="0"/>
        <w:keepLines w:val="0"/>
        <w:pageBreakBefore w:val="0"/>
        <w:widowControl w:val="0"/>
        <w:kinsoku/>
        <w:wordWrap/>
        <w:overflowPunct/>
        <w:topLinePunct w:val="0"/>
        <w:bidi w:val="0"/>
        <w:adjustRightInd/>
        <w:snapToGrid/>
        <w:spacing w:line="600" w:lineRule="exact"/>
        <w:ind w:left="0" w:leftChars="0" w:right="0" w:rightChars="0" w:firstLine="630" w:firstLineChars="196"/>
        <w:textAlignment w:val="auto"/>
        <w:outlineLvl w:val="9"/>
        <w:rPr>
          <w:rFonts w:ascii="Times New Roman" w:hAnsi="Times New Roman" w:eastAsia="楷体_GB2312"/>
          <w:b/>
          <w:sz w:val="32"/>
          <w:highlight w:val="none"/>
        </w:rPr>
      </w:pPr>
      <w:r>
        <w:rPr>
          <w:rFonts w:hint="eastAsia" w:ascii="Times New Roman" w:hAnsi="Times New Roman" w:eastAsia="楷体_GB2312"/>
          <w:b/>
          <w:sz w:val="32"/>
          <w:highlight w:val="none"/>
        </w:rPr>
        <w:t>（一）参展企业资格标准</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textAlignment w:val="auto"/>
        <w:outlineLvl w:val="9"/>
        <w:rPr>
          <w:rFonts w:ascii="仿宋_GB2312" w:hAnsi="仿宋" w:eastAsia="仿宋_GB2312" w:cs="仿宋_GB2312"/>
          <w:bCs/>
          <w:sz w:val="32"/>
          <w:szCs w:val="32"/>
          <w:highlight w:val="none"/>
        </w:rPr>
      </w:pPr>
      <w:r>
        <w:rPr>
          <w:rFonts w:hint="eastAsia" w:ascii="仿宋_GB2312" w:hAnsi="仿宋" w:eastAsia="仿宋_GB2312" w:cs="仿宋_GB2312"/>
          <w:bCs/>
          <w:sz w:val="32"/>
          <w:szCs w:val="32"/>
          <w:highlight w:val="none"/>
        </w:rPr>
        <w:t>1.</w:t>
      </w:r>
      <w:r>
        <w:rPr>
          <w:rFonts w:hint="eastAsia" w:ascii="仿宋_GB2312" w:hAnsi="仿宋" w:eastAsia="仿宋_GB2312" w:cs="仿宋_GB2312"/>
          <w:sz w:val="32"/>
          <w:highlight w:val="none"/>
        </w:rPr>
        <w:t>依法取得法人营业执照、进出口企业资格证书或对外贸易经营者备案登记证明，并已办理进出口企业代码；</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textAlignment w:val="auto"/>
        <w:outlineLvl w:val="9"/>
        <w:rPr>
          <w:rFonts w:ascii="仿宋_GB2312" w:hAnsi="仿宋" w:eastAsia="仿宋_GB2312" w:cs="仿宋_GB2312"/>
          <w:b/>
          <w:sz w:val="32"/>
          <w:highlight w:val="none"/>
        </w:rPr>
      </w:pPr>
      <w:r>
        <w:rPr>
          <w:rFonts w:hint="eastAsia" w:ascii="仿宋_GB2312" w:hAnsi="仿宋" w:eastAsia="仿宋_GB2312" w:cs="仿宋_GB2312"/>
          <w:bCs/>
          <w:sz w:val="32"/>
          <w:szCs w:val="32"/>
          <w:highlight w:val="none"/>
        </w:rPr>
        <w:t>2.展品属于展区规定的展品范围；</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textAlignment w:val="auto"/>
        <w:outlineLvl w:val="9"/>
        <w:rPr>
          <w:rFonts w:ascii="仿宋_GB2312" w:hAnsi="仿宋" w:eastAsia="仿宋_GB2312"/>
          <w:bCs/>
          <w:sz w:val="32"/>
          <w:szCs w:val="32"/>
          <w:highlight w:val="none"/>
        </w:rPr>
      </w:pPr>
      <w:r>
        <w:rPr>
          <w:rFonts w:hint="eastAsia" w:ascii="仿宋_GB2312" w:hAnsi="仿宋" w:eastAsia="仿宋_GB2312" w:cs="仿宋_GB2312"/>
          <w:bCs/>
          <w:sz w:val="32"/>
          <w:szCs w:val="32"/>
          <w:highlight w:val="none"/>
        </w:rPr>
        <w:t>3.广交会统计口径下202</w:t>
      </w:r>
      <w:r>
        <w:rPr>
          <w:rFonts w:hint="eastAsia" w:ascii="仿宋_GB2312" w:hAnsi="仿宋" w:eastAsia="仿宋_GB2312" w:cs="仿宋_GB2312"/>
          <w:bCs/>
          <w:sz w:val="32"/>
          <w:szCs w:val="32"/>
          <w:highlight w:val="none"/>
          <w:lang w:val="en-US" w:eastAsia="zh-CN"/>
        </w:rPr>
        <w:t>1</w:t>
      </w:r>
      <w:r>
        <w:rPr>
          <w:rFonts w:hint="eastAsia" w:ascii="仿宋_GB2312" w:hAnsi="仿宋" w:eastAsia="仿宋_GB2312" w:cs="仿宋_GB2312"/>
          <w:bCs/>
          <w:sz w:val="32"/>
          <w:szCs w:val="32"/>
          <w:highlight w:val="none"/>
        </w:rPr>
        <w:t>年度出口额达75万美元（含），或202</w:t>
      </w:r>
      <w:r>
        <w:rPr>
          <w:rFonts w:hint="eastAsia" w:ascii="仿宋_GB2312" w:hAnsi="仿宋" w:eastAsia="仿宋_GB2312" w:cs="仿宋_GB2312"/>
          <w:bCs/>
          <w:sz w:val="32"/>
          <w:szCs w:val="32"/>
          <w:highlight w:val="none"/>
          <w:lang w:val="en-US" w:eastAsia="zh-CN"/>
        </w:rPr>
        <w:t>1</w:t>
      </w:r>
      <w:r>
        <w:rPr>
          <w:rFonts w:hint="eastAsia" w:ascii="仿宋_GB2312" w:hAnsi="仿宋" w:eastAsia="仿宋_GB2312" w:cs="仿宋_GB2312"/>
          <w:bCs/>
          <w:sz w:val="32"/>
          <w:szCs w:val="32"/>
          <w:highlight w:val="none"/>
        </w:rPr>
        <w:t>年度国内销售额达500万元人民币（含）。其中，出口额核定依据为海关统计，国内销售额核定依据为经交易团审核盖章的增值税纳税申报表。</w:t>
      </w:r>
    </w:p>
    <w:p>
      <w:pPr>
        <w:keepNext w:val="0"/>
        <w:keepLines w:val="0"/>
        <w:pageBreakBefore w:val="0"/>
        <w:widowControl w:val="0"/>
        <w:kinsoku/>
        <w:wordWrap/>
        <w:overflowPunct/>
        <w:topLinePunct w:val="0"/>
        <w:bidi w:val="0"/>
        <w:adjustRightInd/>
        <w:snapToGrid/>
        <w:spacing w:line="600" w:lineRule="exact"/>
        <w:ind w:left="0" w:leftChars="0" w:right="0" w:rightChars="0" w:firstLine="630" w:firstLineChars="196"/>
        <w:textAlignment w:val="auto"/>
        <w:outlineLvl w:val="9"/>
        <w:rPr>
          <w:rFonts w:ascii="Times New Roman" w:hAnsi="Times New Roman" w:eastAsia="楷体_GB2312"/>
          <w:b/>
          <w:sz w:val="32"/>
          <w:highlight w:val="none"/>
        </w:rPr>
      </w:pPr>
      <w:r>
        <w:rPr>
          <w:rFonts w:hint="eastAsia" w:ascii="Times New Roman" w:hAnsi="Times New Roman" w:eastAsia="楷体_GB2312"/>
          <w:b/>
          <w:sz w:val="32"/>
          <w:highlight w:val="none"/>
        </w:rPr>
        <w:t>（二）属下列情况之一的展品禁止参展</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textAlignment w:val="auto"/>
        <w:outlineLvl w:val="9"/>
        <w:rPr>
          <w:rFonts w:ascii="仿宋_GB2312" w:hAnsi="仿宋" w:eastAsia="仿宋_GB2312" w:cs="仿宋_GB2312"/>
          <w:bCs/>
          <w:sz w:val="32"/>
          <w:szCs w:val="32"/>
          <w:highlight w:val="none"/>
        </w:rPr>
      </w:pPr>
      <w:r>
        <w:rPr>
          <w:rFonts w:hint="eastAsia" w:ascii="仿宋_GB2312" w:hAnsi="仿宋" w:eastAsia="仿宋_GB2312" w:cs="仿宋_GB2312"/>
          <w:bCs/>
          <w:sz w:val="32"/>
          <w:szCs w:val="32"/>
          <w:highlight w:val="none"/>
        </w:rPr>
        <w:t>1.《中国进出口商品交易会参展展品范围（出口展）》规定之外的展品。</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textAlignment w:val="auto"/>
        <w:outlineLvl w:val="9"/>
        <w:rPr>
          <w:rFonts w:ascii="仿宋_GB2312" w:hAnsi="仿宋" w:eastAsia="仿宋_GB2312" w:cs="仿宋_GB2312"/>
          <w:bCs/>
          <w:sz w:val="32"/>
          <w:szCs w:val="32"/>
          <w:highlight w:val="none"/>
        </w:rPr>
      </w:pPr>
      <w:r>
        <w:rPr>
          <w:rFonts w:hint="eastAsia" w:ascii="仿宋_GB2312" w:hAnsi="仿宋" w:eastAsia="仿宋_GB2312" w:cs="仿宋_GB2312"/>
          <w:bCs/>
          <w:sz w:val="32"/>
          <w:szCs w:val="32"/>
          <w:highlight w:val="none"/>
        </w:rPr>
        <w:t>2.不符合《中华人民共和国产品质量法》《中华人民共和国进出口商品检验法》及其他有关出口产品质量法律法规规定的展品。</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textAlignment w:val="auto"/>
        <w:outlineLvl w:val="9"/>
        <w:rPr>
          <w:rFonts w:ascii="仿宋_GB2312" w:hAnsi="仿宋" w:eastAsia="仿宋_GB2312" w:cs="仿宋_GB2312"/>
          <w:bCs/>
          <w:sz w:val="32"/>
          <w:szCs w:val="32"/>
          <w:highlight w:val="none"/>
        </w:rPr>
      </w:pPr>
      <w:r>
        <w:rPr>
          <w:rFonts w:hint="eastAsia" w:ascii="仿宋_GB2312" w:hAnsi="仿宋" w:eastAsia="仿宋_GB2312" w:cs="仿宋_GB2312"/>
          <w:bCs/>
          <w:sz w:val="32"/>
          <w:szCs w:val="32"/>
          <w:highlight w:val="none"/>
        </w:rPr>
        <w:t>3.涉及商标、专利、版权，但未取得合法权利证书或使用许可的展品。</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textAlignment w:val="auto"/>
        <w:outlineLvl w:val="9"/>
        <w:rPr>
          <w:rFonts w:ascii="仿宋_GB2312" w:hAnsi="仿宋" w:eastAsia="仿宋_GB2312" w:cs="仿宋_GB2312"/>
          <w:bCs/>
          <w:sz w:val="32"/>
          <w:szCs w:val="32"/>
          <w:highlight w:val="none"/>
        </w:rPr>
      </w:pPr>
      <w:r>
        <w:rPr>
          <w:rFonts w:hint="eastAsia" w:ascii="仿宋_GB2312" w:hAnsi="仿宋" w:eastAsia="仿宋_GB2312" w:cs="仿宋_GB2312"/>
          <w:bCs/>
          <w:sz w:val="32"/>
          <w:szCs w:val="32"/>
          <w:highlight w:val="none"/>
        </w:rPr>
        <w:t>4.</w:t>
      </w:r>
      <w:r>
        <w:rPr>
          <w:rFonts w:hint="eastAsia" w:ascii="仿宋_GB2312" w:hAnsi="仿宋" w:eastAsia="仿宋_GB2312" w:cs="仿宋_GB2312"/>
          <w:sz w:val="32"/>
          <w:highlight w:val="none"/>
        </w:rPr>
        <w:t>被司法机关、仲裁机关或知识产权行政管理机关认定侵权的展品。</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textAlignment w:val="auto"/>
        <w:outlineLvl w:val="9"/>
        <w:rPr>
          <w:rFonts w:ascii="仿宋_GB2312" w:hAnsi="仿宋_GB2312" w:eastAsia="仿宋_GB2312" w:cs="仿宋_GB2312"/>
          <w:sz w:val="32"/>
          <w:highlight w:val="none"/>
        </w:rPr>
      </w:pPr>
      <w:r>
        <w:rPr>
          <w:rFonts w:hint="eastAsia" w:ascii="仿宋_GB2312" w:hAnsi="仿宋" w:eastAsia="仿宋_GB2312" w:cs="仿宋_GB2312"/>
          <w:sz w:val="32"/>
          <w:highlight w:val="none"/>
        </w:rPr>
        <w:t>5.</w:t>
      </w:r>
      <w:r>
        <w:rPr>
          <w:rFonts w:hint="eastAsia" w:ascii="仿宋_GB2312" w:hAnsi="仿宋" w:eastAsia="仿宋_GB2312" w:cs="仿宋_GB2312"/>
          <w:bCs/>
          <w:sz w:val="32"/>
          <w:szCs w:val="32"/>
          <w:highlight w:val="none"/>
        </w:rPr>
        <w:t>在商务或出入境检验检疫机构等质量监督管理部门有</w:t>
      </w:r>
      <w:r>
        <w:rPr>
          <w:rFonts w:hint="eastAsia" w:ascii="仿宋_GB2312" w:hAnsi="仿宋_GB2312" w:eastAsia="仿宋_GB2312" w:cs="仿宋_GB2312"/>
          <w:bCs/>
          <w:sz w:val="32"/>
          <w:szCs w:val="32"/>
          <w:highlight w:val="none"/>
        </w:rPr>
        <w:t>不良记录且未经复检合格的展品。</w:t>
      </w:r>
    </w:p>
    <w:p>
      <w:pPr>
        <w:keepNext w:val="0"/>
        <w:keepLines w:val="0"/>
        <w:pageBreakBefore w:val="0"/>
        <w:widowControl w:val="0"/>
        <w:kinsoku/>
        <w:wordWrap/>
        <w:overflowPunct/>
        <w:topLinePunct w:val="0"/>
        <w:bidi w:val="0"/>
        <w:adjustRightInd/>
        <w:snapToGrid/>
        <w:spacing w:line="600" w:lineRule="exact"/>
        <w:ind w:left="0" w:leftChars="0" w:right="0" w:rightChars="0" w:firstLine="630" w:firstLineChars="196"/>
        <w:textAlignment w:val="auto"/>
        <w:outlineLvl w:val="9"/>
        <w:rPr>
          <w:rFonts w:ascii="Times New Roman" w:hAnsi="Times New Roman" w:eastAsia="楷体_GB2312"/>
          <w:b/>
          <w:sz w:val="32"/>
          <w:highlight w:val="none"/>
        </w:rPr>
      </w:pPr>
      <w:r>
        <w:rPr>
          <w:rFonts w:hint="eastAsia" w:ascii="Times New Roman" w:hAnsi="Times New Roman" w:eastAsia="楷体_GB2312"/>
          <w:b/>
          <w:sz w:val="32"/>
          <w:highlight w:val="none"/>
        </w:rPr>
        <w:t>（三）属下列情况之一的企业禁止参展</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textAlignment w:val="auto"/>
        <w:outlineLvl w:val="9"/>
        <w:rPr>
          <w:rFonts w:ascii="仿宋_GB2312" w:hAnsi="仿宋" w:eastAsia="仿宋_GB2312" w:cs="仿宋_GB2312"/>
          <w:sz w:val="32"/>
          <w:highlight w:val="none"/>
        </w:rPr>
      </w:pPr>
      <w:r>
        <w:rPr>
          <w:rFonts w:hint="eastAsia" w:ascii="仿宋_GB2312" w:hAnsi="仿宋" w:eastAsia="仿宋_GB2312" w:cs="仿宋_GB2312"/>
          <w:sz w:val="32"/>
          <w:highlight w:val="none"/>
        </w:rPr>
        <w:t>1.商务部及地方各级商务主管部门向社会公告的违法违规企业，在公告期内禁止参展。</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textAlignment w:val="auto"/>
        <w:outlineLvl w:val="9"/>
        <w:rPr>
          <w:rFonts w:ascii="仿宋_GB2312" w:hAnsi="仿宋" w:eastAsia="仿宋_GB2312" w:cs="仿宋_GB2312"/>
          <w:sz w:val="32"/>
          <w:highlight w:val="none"/>
        </w:rPr>
      </w:pPr>
      <w:r>
        <w:rPr>
          <w:rFonts w:hint="eastAsia" w:ascii="仿宋_GB2312" w:hAnsi="仿宋" w:eastAsia="仿宋_GB2312" w:cs="仿宋_GB2312"/>
          <w:sz w:val="32"/>
          <w:highlight w:val="none"/>
        </w:rPr>
        <w:t>2.国家工商、海关、税务、质检、外汇、环保等部门通报的违法违规企业，在处罚期限内禁止参展；无处罚期限的，从处罚之日起连续六届禁止参展。</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textAlignment w:val="auto"/>
        <w:outlineLvl w:val="9"/>
        <w:rPr>
          <w:rFonts w:ascii="仿宋_GB2312" w:hAnsi="仿宋" w:eastAsia="仿宋_GB2312" w:cs="仿宋_GB2312"/>
          <w:sz w:val="32"/>
          <w:highlight w:val="none"/>
        </w:rPr>
      </w:pPr>
      <w:r>
        <w:rPr>
          <w:rFonts w:hint="eastAsia" w:ascii="仿宋_GB2312" w:hAnsi="仿宋" w:eastAsia="仿宋_GB2312" w:cs="仿宋_GB2312"/>
          <w:sz w:val="32"/>
          <w:highlight w:val="none"/>
        </w:rPr>
        <w:t>3.因违规转让或转（租）卖广交会展位、涉嫌重大展品质量与贸易纠纷投诉、知识产权侵权等违反大会相关规定，并处于被取消参展资格处罚期限内的企业。</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textAlignment w:val="auto"/>
        <w:outlineLvl w:val="9"/>
        <w:rPr>
          <w:rFonts w:ascii="仿宋_GB2312" w:hAnsi="仿宋" w:eastAsia="仿宋_GB2312" w:cs="仿宋_GB2312"/>
          <w:sz w:val="32"/>
          <w:highlight w:val="none"/>
        </w:rPr>
      </w:pPr>
      <w:r>
        <w:rPr>
          <w:rFonts w:hint="eastAsia" w:ascii="仿宋_GB2312" w:hAnsi="仿宋" w:eastAsia="仿宋_GB2312" w:cs="仿宋_GB2312"/>
          <w:sz w:val="32"/>
          <w:highlight w:val="none"/>
        </w:rPr>
        <w:t>4.因拒不服从大会管理、破坏展览秩序等其他行为，对广交会声誉或正常运营造成较大不良影响，被取消参展资格的企业。</w:t>
      </w:r>
    </w:p>
    <w:p>
      <w:pPr>
        <w:keepNext w:val="0"/>
        <w:keepLines w:val="0"/>
        <w:pageBreakBefore w:val="0"/>
        <w:widowControl w:val="0"/>
        <w:kinsoku/>
        <w:wordWrap/>
        <w:overflowPunct/>
        <w:topLinePunct w:val="0"/>
        <w:bidi w:val="0"/>
        <w:adjustRightInd/>
        <w:snapToGrid/>
        <w:spacing w:line="600" w:lineRule="exact"/>
        <w:ind w:left="0" w:leftChars="0" w:right="0" w:rightChars="0" w:firstLine="640" w:firstLineChars="200"/>
        <w:textAlignment w:val="auto"/>
        <w:outlineLvl w:val="9"/>
        <w:rPr>
          <w:rFonts w:ascii="Times New Roman" w:hAnsi="Times New Roman" w:eastAsia="黑体"/>
          <w:sz w:val="32"/>
          <w:szCs w:val="32"/>
          <w:highlight w:val="none"/>
        </w:rPr>
      </w:pPr>
      <w:r>
        <w:rPr>
          <w:rFonts w:hint="eastAsia" w:ascii="Times New Roman" w:hAnsi="Times New Roman" w:eastAsia="黑体"/>
          <w:sz w:val="32"/>
          <w:szCs w:val="32"/>
          <w:highlight w:val="none"/>
        </w:rPr>
        <w:t>二、参展申请材料清单</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（一）经盖章确认的参展申请表（线下提交）；</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（二）企业营业执照（线上提交）；</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highlight w:val="none"/>
        </w:rPr>
        <w:t>进出口企业资格证书或</w:t>
      </w:r>
      <w:r>
        <w:rPr>
          <w:rFonts w:hint="eastAsia" w:ascii="仿宋_GB2312" w:hAnsi="仿宋_GB2312" w:eastAsia="仿宋_GB2312" w:cs="仿宋_GB2312"/>
          <w:sz w:val="32"/>
          <w:szCs w:val="32"/>
          <w:highlight w:val="none"/>
        </w:rPr>
        <w:t>外贸经营者备案登记证明（线上提交）；</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（四）企业海关编码对应的海关报关注册登记证书，如需使用全资或控股子公司海关编码的，需提交相关股权关系的第三方证明文件（线上提交）；</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cs="仿宋_GB2312"/>
          <w:color w:val="FF0000"/>
          <w:sz w:val="32"/>
          <w:szCs w:val="32"/>
          <w:highlight w:val="none"/>
        </w:rPr>
      </w:pPr>
      <w:r>
        <w:rPr>
          <w:rFonts w:hint="eastAsia" w:ascii="仿宋_GB2312" w:hAnsi="仿宋" w:eastAsia="仿宋_GB2312" w:cs="仿宋_GB2312"/>
          <w:sz w:val="32"/>
          <w:szCs w:val="32"/>
          <w:highlight w:val="none"/>
        </w:rPr>
        <w:t>（五）202</w:t>
      </w:r>
      <w:r>
        <w:rPr>
          <w:rFonts w:hint="eastAsia" w:ascii="仿宋_GB2312" w:hAnsi="仿宋" w:eastAsia="仿宋_GB2312" w:cs="仿宋_GB2312"/>
          <w:sz w:val="32"/>
          <w:szCs w:val="32"/>
          <w:highlight w:val="none"/>
          <w:lang w:val="en-US" w:eastAsia="zh-CN"/>
        </w:rPr>
        <w:t>1</w:t>
      </w:r>
      <w:r>
        <w:rPr>
          <w:rFonts w:hint="eastAsia" w:ascii="仿宋_GB2312" w:hAnsi="仿宋" w:eastAsia="仿宋_GB2312" w:cs="仿宋_GB2312"/>
          <w:sz w:val="32"/>
          <w:szCs w:val="32"/>
          <w:highlight w:val="none"/>
        </w:rPr>
        <w:t>年国内销售额证明，即经交易团审核盖章的202</w:t>
      </w:r>
      <w:r>
        <w:rPr>
          <w:rFonts w:hint="eastAsia" w:ascii="仿宋_GB2312" w:hAnsi="仿宋" w:eastAsia="仿宋_GB2312" w:cs="仿宋_GB2312"/>
          <w:sz w:val="32"/>
          <w:szCs w:val="32"/>
          <w:highlight w:val="none"/>
          <w:lang w:val="en-US" w:eastAsia="zh-CN"/>
        </w:rPr>
        <w:t>1</w:t>
      </w:r>
      <w:r>
        <w:rPr>
          <w:rFonts w:hint="eastAsia" w:ascii="仿宋_GB2312" w:hAnsi="仿宋" w:eastAsia="仿宋_GB2312" w:cs="仿宋_GB2312"/>
          <w:sz w:val="32"/>
          <w:szCs w:val="32"/>
          <w:highlight w:val="none"/>
        </w:rPr>
        <w:t>年度增值税纳税申报表（线下提交）</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left"/>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（六）符合申请展区展品范围的产品介绍、图片，以及相关发明专利、境外商标、行业认证及境外专业展参展相关证明等（线上提交）。</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textAlignment w:val="auto"/>
        <w:outlineLvl w:val="9"/>
        <w:rPr>
          <w:rFonts w:ascii="Times New Roman" w:hAnsi="Times New Roman" w:eastAsia="黑体"/>
          <w:sz w:val="32"/>
          <w:szCs w:val="32"/>
          <w:highlight w:val="none"/>
        </w:rPr>
      </w:pPr>
      <w:r>
        <w:rPr>
          <w:rFonts w:hint="eastAsia" w:ascii="Times New Roman" w:hAnsi="Times New Roman" w:eastAsia="黑体"/>
          <w:sz w:val="32"/>
          <w:szCs w:val="32"/>
          <w:highlight w:val="none"/>
        </w:rPr>
        <w:t>三、填报注意事项</w:t>
      </w:r>
    </w:p>
    <w:p>
      <w:pPr>
        <w:keepNext w:val="0"/>
        <w:keepLines w:val="0"/>
        <w:pageBreakBefore w:val="0"/>
        <w:widowControl w:val="0"/>
        <w:kinsoku/>
        <w:wordWrap/>
        <w:overflowPunct/>
        <w:topLinePunct w:val="0"/>
        <w:bidi w:val="0"/>
        <w:adjustRightInd/>
        <w:snapToGrid/>
        <w:spacing w:line="600" w:lineRule="exact"/>
        <w:ind w:left="0" w:leftChars="0" w:right="0" w:rightChars="0" w:firstLine="630"/>
        <w:textAlignment w:val="auto"/>
        <w:outlineLvl w:val="9"/>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（一）新能源、宠物用品展区下设展品专区，并对不同专区设置不同的展位安排标准，请务必如实谨慎填报，具体为：</w:t>
      </w:r>
    </w:p>
    <w:p>
      <w:pPr>
        <w:keepNext w:val="0"/>
        <w:keepLines w:val="0"/>
        <w:pageBreakBefore w:val="0"/>
        <w:widowControl w:val="0"/>
        <w:kinsoku/>
        <w:wordWrap/>
        <w:overflowPunct/>
        <w:topLinePunct w:val="0"/>
        <w:bidi w:val="0"/>
        <w:adjustRightInd/>
        <w:snapToGrid/>
        <w:spacing w:line="600" w:lineRule="exact"/>
        <w:ind w:left="0" w:leftChars="0" w:right="0" w:rightChars="0" w:firstLine="630"/>
        <w:textAlignment w:val="auto"/>
        <w:outlineLvl w:val="9"/>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新能源展区：太阳能光伏产品、太阳能光热产品、风能及其他新能源产品；</w:t>
      </w:r>
    </w:p>
    <w:p>
      <w:pPr>
        <w:keepNext w:val="0"/>
        <w:keepLines w:val="0"/>
        <w:pageBreakBefore w:val="0"/>
        <w:widowControl w:val="0"/>
        <w:kinsoku/>
        <w:wordWrap/>
        <w:overflowPunct/>
        <w:topLinePunct w:val="0"/>
        <w:bidi w:val="0"/>
        <w:adjustRightInd/>
        <w:snapToGrid/>
        <w:spacing w:line="600" w:lineRule="exact"/>
        <w:ind w:left="0" w:leftChars="0" w:right="0" w:rightChars="0" w:firstLine="630"/>
        <w:textAlignment w:val="auto"/>
        <w:outlineLvl w:val="9"/>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宠物用品展区：宠物用品、宠物食品。</w:t>
      </w:r>
    </w:p>
    <w:p>
      <w:pPr>
        <w:keepNext w:val="0"/>
        <w:keepLines w:val="0"/>
        <w:pageBreakBefore w:val="0"/>
        <w:widowControl w:val="0"/>
        <w:kinsoku/>
        <w:wordWrap/>
        <w:overflowPunct/>
        <w:topLinePunct w:val="0"/>
        <w:bidi w:val="0"/>
        <w:adjustRightInd/>
        <w:snapToGrid/>
        <w:spacing w:line="600" w:lineRule="exact"/>
        <w:ind w:left="0" w:leftChars="0" w:right="0" w:rightChars="0" w:firstLine="630"/>
        <w:textAlignment w:val="auto"/>
        <w:outlineLvl w:val="9"/>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二）根据海关编码统计的出口额，是展位安排的重要参考标准。请按操作指引对企业海关编码进行确认，允许使用全资或控股子公司海关编码，但须同时提供相关股权关系证明，且该子公司不得再申请该展区展位。</w:t>
      </w:r>
    </w:p>
    <w:p>
      <w:pPr>
        <w:keepNext w:val="0"/>
        <w:keepLines w:val="0"/>
        <w:pageBreakBefore w:val="0"/>
        <w:widowControl w:val="0"/>
        <w:kinsoku/>
        <w:wordWrap/>
        <w:overflowPunct/>
        <w:topLinePunct w:val="0"/>
        <w:bidi w:val="0"/>
        <w:adjustRightInd/>
        <w:snapToGrid/>
        <w:spacing w:line="600" w:lineRule="exact"/>
        <w:ind w:left="0" w:leftChars="0" w:right="0" w:rightChars="0" w:firstLine="630"/>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 四、退展位约束机制</w:t>
      </w:r>
    </w:p>
    <w:p>
      <w:pPr>
        <w:keepNext w:val="0"/>
        <w:keepLines w:val="0"/>
        <w:pageBreakBefore w:val="0"/>
        <w:widowControl w:val="0"/>
        <w:kinsoku/>
        <w:wordWrap/>
        <w:overflowPunct/>
        <w:topLinePunct w:val="0"/>
        <w:bidi w:val="0"/>
        <w:adjustRightInd/>
        <w:snapToGrid/>
        <w:spacing w:line="600" w:lineRule="exact"/>
        <w:ind w:left="0" w:leftChars="0" w:right="0" w:rightChars="0" w:firstLine="63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  （一）在新能源、宠物用品参展企业展位数量安排经公示后确定公布之日起，至对应展区展位位置安排公布的前一天退展位的，所退展位收取一半展位费；</w:t>
      </w:r>
    </w:p>
    <w:p>
      <w:pPr>
        <w:keepNext w:val="0"/>
        <w:keepLines w:val="0"/>
        <w:pageBreakBefore w:val="0"/>
        <w:widowControl w:val="0"/>
        <w:kinsoku/>
        <w:wordWrap/>
        <w:overflowPunct/>
        <w:topLinePunct w:val="0"/>
        <w:bidi w:val="0"/>
        <w:adjustRightInd/>
        <w:snapToGrid/>
        <w:spacing w:line="600" w:lineRule="exact"/>
        <w:ind w:left="0" w:leftChars="0" w:right="0" w:rightChars="0" w:firstLine="630"/>
        <w:textAlignment w:val="auto"/>
        <w:outlineLvl w:val="9"/>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  （二）在新能源、宠物用品展区展位位置安排公布之日起退展位的，所退展位收取全额展位费。</w:t>
      </w: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附件4</w:t>
      </w:r>
    </w:p>
    <w:p>
      <w:pPr>
        <w:pStyle w:val="2"/>
        <w:jc w:val="both"/>
        <w:rPr>
          <w:rFonts w:hint="eastAsia" w:ascii="黑体" w:hAnsi="黑体" w:eastAsia="黑体" w:cs="黑体"/>
          <w:sz w:val="32"/>
          <w:szCs w:val="32"/>
          <w:highlight w:val="none"/>
          <w:lang w:val="en-US" w:eastAsia="zh-CN"/>
        </w:rPr>
      </w:pPr>
      <w:r>
        <w:rPr>
          <w:color w:val="auto"/>
          <w:sz w:val="20"/>
          <w:szCs w:val="20"/>
        </w:rPr>
        <w:drawing>
          <wp:anchor distT="0" distB="0" distL="114300" distR="114300" simplePos="0" relativeHeight="251659264" behindDoc="1" locked="0" layoutInCell="0" allowOverlap="1">
            <wp:simplePos x="0" y="0"/>
            <wp:positionH relativeFrom="page">
              <wp:posOffset>-215900</wp:posOffset>
            </wp:positionH>
            <wp:positionV relativeFrom="page">
              <wp:posOffset>542925</wp:posOffset>
            </wp:positionV>
            <wp:extent cx="7562215" cy="1068451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562215" cy="10684510"/>
                    </a:xfrm>
                    <a:prstGeom prst="rect">
                      <a:avLst/>
                    </a:prstGeom>
                    <a:noFill/>
                    <a:ln>
                      <a:noFill/>
                    </a:ln>
                  </pic:spPr>
                </pic:pic>
              </a:graphicData>
            </a:graphic>
          </wp:anchor>
        </w:drawing>
      </w: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p>
    <w:p>
      <w:pPr>
        <w:pStyle w:val="2"/>
        <w:jc w:val="both"/>
        <w:rPr>
          <w:rFonts w:hint="eastAsia" w:ascii="黑体" w:hAnsi="黑体" w:eastAsia="黑体" w:cs="黑体"/>
          <w:sz w:val="32"/>
          <w:szCs w:val="32"/>
          <w:highlight w:val="none"/>
          <w:lang w:val="en-US" w:eastAsia="zh-CN"/>
        </w:rPr>
      </w:pPr>
      <w:bookmarkStart w:id="1" w:name="page2"/>
      <w:bookmarkEnd w:id="1"/>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r>
        <w:rPr>
          <w:color w:val="auto"/>
          <w:sz w:val="20"/>
          <w:szCs w:val="20"/>
        </w:rPr>
        <w:drawing>
          <wp:anchor distT="0" distB="0" distL="114300" distR="114300" simplePos="0" relativeHeight="251660288" behindDoc="1" locked="0" layoutInCell="0" allowOverlap="1">
            <wp:simplePos x="0" y="0"/>
            <wp:positionH relativeFrom="page">
              <wp:posOffset>-136525</wp:posOffset>
            </wp:positionH>
            <wp:positionV relativeFrom="page">
              <wp:posOffset>376555</wp:posOffset>
            </wp:positionV>
            <wp:extent cx="7562215" cy="1068451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562215" cy="10684510"/>
                    </a:xfrm>
                    <a:prstGeom prst="rect">
                      <a:avLst/>
                    </a:prstGeom>
                    <a:noFill/>
                    <a:ln>
                      <a:noFill/>
                    </a:ln>
                  </pic:spPr>
                </pic:pic>
              </a:graphicData>
            </a:graphic>
          </wp:anchor>
        </w:drawing>
      </w:r>
    </w:p>
    <w:p>
      <w:pPr>
        <w:pStyle w:val="2"/>
        <w:rPr>
          <w:rFonts w:hint="eastAsia" w:ascii="Times New Roman" w:hAnsi="Times New Roman" w:eastAsia="仿宋_GB2312"/>
          <w:sz w:val="32"/>
          <w:szCs w:val="32"/>
          <w:highlight w:val="none"/>
          <w:lang w:val="en-US" w:eastAsia="zh-CN"/>
        </w:rPr>
      </w:pPr>
      <w:r>
        <w:rPr>
          <w:color w:val="auto"/>
          <w:sz w:val="20"/>
          <w:szCs w:val="20"/>
        </w:rPr>
        <w:drawing>
          <wp:anchor distT="0" distB="0" distL="114300" distR="114300" simplePos="0" relativeHeight="251661312" behindDoc="1" locked="0" layoutInCell="0" allowOverlap="1">
            <wp:simplePos x="0" y="0"/>
            <wp:positionH relativeFrom="page">
              <wp:posOffset>-24130</wp:posOffset>
            </wp:positionH>
            <wp:positionV relativeFrom="page">
              <wp:posOffset>199390</wp:posOffset>
            </wp:positionV>
            <wp:extent cx="7562215" cy="1068451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7562215" cy="10684510"/>
                    </a:xfrm>
                    <a:prstGeom prst="rect">
                      <a:avLst/>
                    </a:prstGeom>
                    <a:noFill/>
                    <a:ln>
                      <a:noFill/>
                    </a:ln>
                  </pic:spPr>
                </pic:pic>
              </a:graphicData>
            </a:graphic>
          </wp:anchor>
        </w:drawing>
      </w: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r>
        <w:rPr>
          <w:color w:val="auto"/>
          <w:sz w:val="20"/>
          <w:szCs w:val="20"/>
        </w:rPr>
        <w:drawing>
          <wp:anchor distT="0" distB="0" distL="114300" distR="114300" simplePos="0" relativeHeight="251662336" behindDoc="1" locked="0" layoutInCell="0" allowOverlap="1">
            <wp:simplePos x="0" y="0"/>
            <wp:positionH relativeFrom="page">
              <wp:posOffset>-26670</wp:posOffset>
            </wp:positionH>
            <wp:positionV relativeFrom="page">
              <wp:posOffset>8890</wp:posOffset>
            </wp:positionV>
            <wp:extent cx="7562215" cy="10684510"/>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7562215" cy="10684510"/>
                    </a:xfrm>
                    <a:prstGeom prst="rect">
                      <a:avLst/>
                    </a:prstGeom>
                    <a:noFill/>
                    <a:ln>
                      <a:noFill/>
                    </a:ln>
                  </pic:spPr>
                </pic:pic>
              </a:graphicData>
            </a:graphic>
          </wp:anchor>
        </w:drawing>
      </w:r>
    </w:p>
    <w:p>
      <w:pPr>
        <w:pStyle w:val="2"/>
        <w:rPr>
          <w:rFonts w:hint="eastAsia" w:ascii="Times New Roman" w:hAnsi="Times New Roman" w:eastAsia="仿宋_GB2312"/>
          <w:sz w:val="32"/>
          <w:szCs w:val="32"/>
          <w:highlight w:val="none"/>
          <w:lang w:val="en-US" w:eastAsia="zh-CN"/>
        </w:rPr>
      </w:pPr>
      <w:r>
        <w:rPr>
          <w:color w:val="auto"/>
          <w:sz w:val="20"/>
          <w:szCs w:val="20"/>
        </w:rPr>
        <w:drawing>
          <wp:anchor distT="0" distB="0" distL="114300" distR="114300" simplePos="0" relativeHeight="251663360" behindDoc="1" locked="0" layoutInCell="0" allowOverlap="1">
            <wp:simplePos x="0" y="0"/>
            <wp:positionH relativeFrom="page">
              <wp:posOffset>-173990</wp:posOffset>
            </wp:positionH>
            <wp:positionV relativeFrom="page">
              <wp:posOffset>139700</wp:posOffset>
            </wp:positionV>
            <wp:extent cx="7562215" cy="10684510"/>
            <wp:effectExtent l="0" t="0" r="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7562215" cy="10684510"/>
                    </a:xfrm>
                    <a:prstGeom prst="rect">
                      <a:avLst/>
                    </a:prstGeom>
                    <a:noFill/>
                    <a:ln>
                      <a:noFill/>
                    </a:ln>
                  </pic:spPr>
                </pic:pic>
              </a:graphicData>
            </a:graphic>
          </wp:anchor>
        </w:drawing>
      </w: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rPr>
          <w:rFonts w:hint="eastAsia" w:ascii="Times New Roman" w:hAnsi="Times New Roman" w:eastAsia="仿宋_GB2312"/>
          <w:sz w:val="32"/>
          <w:szCs w:val="32"/>
          <w:highlight w:val="none"/>
          <w:lang w:val="en-US" w:eastAsia="zh-CN"/>
        </w:rPr>
      </w:pPr>
    </w:p>
    <w:p>
      <w:pPr>
        <w:pStyle w:val="2"/>
        <w:jc w:val="both"/>
        <w:rPr>
          <w:rFonts w:hint="eastAsia" w:ascii="Times New Roman" w:hAnsi="Times New Roman" w:eastAsia="仿宋_GB2312"/>
          <w:sz w:val="32"/>
          <w:szCs w:val="32"/>
          <w:highlight w:val="none"/>
          <w:lang w:val="en-US" w:eastAsia="zh-CN"/>
        </w:rPr>
      </w:pPr>
    </w:p>
    <w:p>
      <w:pPr>
        <w:pStyle w:val="2"/>
        <w:jc w:val="both"/>
        <w:rPr>
          <w:rFonts w:hint="eastAsia" w:ascii="Times New Roman" w:hAnsi="Times New Roman" w:eastAsia="仿宋_GB2312"/>
          <w:sz w:val="32"/>
          <w:szCs w:val="32"/>
          <w:highlight w:val="none"/>
          <w:lang w:val="en-US" w:eastAsia="zh-CN"/>
        </w:rPr>
      </w:pPr>
    </w:p>
    <w:p>
      <w:pPr>
        <w:pStyle w:val="2"/>
        <w:jc w:val="both"/>
        <w:rPr>
          <w:rFonts w:hint="eastAsia" w:ascii="Times New Roman" w:hAnsi="Times New Roman" w:eastAsia="仿宋_GB2312"/>
          <w:sz w:val="32"/>
          <w:szCs w:val="32"/>
          <w:highlight w:val="none"/>
          <w:lang w:val="en-US" w:eastAsia="zh-CN"/>
        </w:rPr>
      </w:pPr>
    </w:p>
    <w:sectPr>
      <w:footerReference r:id="rId3" w:type="default"/>
      <w:pgSz w:w="11906" w:h="16838"/>
      <w:pgMar w:top="1616" w:right="1588" w:bottom="1616" w:left="1588" w:header="851" w:footer="907" w:gutter="0"/>
      <w:paperSrc w:first="7" w:other="7"/>
      <w:pgBorders w:display="firstPage">
        <w:bottom w:val="thickThinSmallGap" w:color="FF0000" w:sz="24" w:space="2"/>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panose1 w:val="0201060900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宋">
    <w:altName w:val="仿宋"/>
    <w:panose1 w:val="00000000000000000000"/>
    <w:charset w:val="86"/>
    <w:family w:val="roman"/>
    <w:pitch w:val="default"/>
    <w:sig w:usb0="00000000" w:usb1="00000000" w:usb2="00000000" w:usb3="00000000" w:csb0="00040000" w:csb1="00000000"/>
  </w:font>
  <w:font w:name="楷体e眠副浡渀.">
    <w:altName w:val="楷体_GB2312"/>
    <w:panose1 w:val="00000000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24D91"/>
    <w:multiLevelType w:val="singleLevel"/>
    <w:tmpl w:val="8DF24D91"/>
    <w:lvl w:ilvl="0" w:tentative="0">
      <w:start w:val="1"/>
      <w:numFmt w:val="chineseCounting"/>
      <w:suff w:val="nothing"/>
      <w:lvlText w:val="（%1）"/>
      <w:lvlJc w:val="left"/>
      <w:rPr>
        <w:rFonts w:hint="eastAsia"/>
      </w:rPr>
    </w:lvl>
  </w:abstractNum>
  <w:abstractNum w:abstractNumId="1">
    <w:nsid w:val="BC95F032"/>
    <w:multiLevelType w:val="singleLevel"/>
    <w:tmpl w:val="BC95F03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attachedTemplate r:id="rId1"/>
  <w:documentProtection w:enforcement="0"/>
  <w:defaultTabStop w:val="425"/>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A249E"/>
    <w:rsid w:val="00010730"/>
    <w:rsid w:val="000146D5"/>
    <w:rsid w:val="000165FF"/>
    <w:rsid w:val="0002034A"/>
    <w:rsid w:val="00024727"/>
    <w:rsid w:val="00031A6C"/>
    <w:rsid w:val="00032F6D"/>
    <w:rsid w:val="0004081C"/>
    <w:rsid w:val="00041144"/>
    <w:rsid w:val="00046BBB"/>
    <w:rsid w:val="00053D9A"/>
    <w:rsid w:val="000617FD"/>
    <w:rsid w:val="00074E3B"/>
    <w:rsid w:val="00085EC2"/>
    <w:rsid w:val="000921BE"/>
    <w:rsid w:val="000B2294"/>
    <w:rsid w:val="000B4099"/>
    <w:rsid w:val="000B5DE1"/>
    <w:rsid w:val="000B5E0D"/>
    <w:rsid w:val="000B75CE"/>
    <w:rsid w:val="000C4129"/>
    <w:rsid w:val="000C4BAA"/>
    <w:rsid w:val="000C6613"/>
    <w:rsid w:val="000D5926"/>
    <w:rsid w:val="000D5C77"/>
    <w:rsid w:val="000F6BA2"/>
    <w:rsid w:val="000F7A12"/>
    <w:rsid w:val="00104348"/>
    <w:rsid w:val="00106E44"/>
    <w:rsid w:val="001130A3"/>
    <w:rsid w:val="00122524"/>
    <w:rsid w:val="00142EB2"/>
    <w:rsid w:val="00143FAD"/>
    <w:rsid w:val="00146785"/>
    <w:rsid w:val="00150366"/>
    <w:rsid w:val="00154215"/>
    <w:rsid w:val="00156400"/>
    <w:rsid w:val="0015717B"/>
    <w:rsid w:val="00157D20"/>
    <w:rsid w:val="00162461"/>
    <w:rsid w:val="00163F96"/>
    <w:rsid w:val="00166F6E"/>
    <w:rsid w:val="00176D37"/>
    <w:rsid w:val="00181B52"/>
    <w:rsid w:val="00187204"/>
    <w:rsid w:val="00187DEA"/>
    <w:rsid w:val="0019406F"/>
    <w:rsid w:val="00196C54"/>
    <w:rsid w:val="001A2547"/>
    <w:rsid w:val="001A2F3B"/>
    <w:rsid w:val="001B31B4"/>
    <w:rsid w:val="001C6F76"/>
    <w:rsid w:val="001D3330"/>
    <w:rsid w:val="001E04A7"/>
    <w:rsid w:val="001F153A"/>
    <w:rsid w:val="00206B25"/>
    <w:rsid w:val="00210A50"/>
    <w:rsid w:val="00221AB7"/>
    <w:rsid w:val="002237AF"/>
    <w:rsid w:val="002262D3"/>
    <w:rsid w:val="00227280"/>
    <w:rsid w:val="00241C75"/>
    <w:rsid w:val="00245D9C"/>
    <w:rsid w:val="00253766"/>
    <w:rsid w:val="00255167"/>
    <w:rsid w:val="0027110A"/>
    <w:rsid w:val="0027184E"/>
    <w:rsid w:val="00276D9B"/>
    <w:rsid w:val="002866A5"/>
    <w:rsid w:val="00292991"/>
    <w:rsid w:val="0029529E"/>
    <w:rsid w:val="00296A53"/>
    <w:rsid w:val="002B45A8"/>
    <w:rsid w:val="002C01CC"/>
    <w:rsid w:val="002C1D57"/>
    <w:rsid w:val="002D5406"/>
    <w:rsid w:val="002E09C0"/>
    <w:rsid w:val="002F24F6"/>
    <w:rsid w:val="002F641D"/>
    <w:rsid w:val="003044E6"/>
    <w:rsid w:val="00304A17"/>
    <w:rsid w:val="003050BB"/>
    <w:rsid w:val="003230AA"/>
    <w:rsid w:val="00352F1B"/>
    <w:rsid w:val="00362E4D"/>
    <w:rsid w:val="00380BC7"/>
    <w:rsid w:val="003827BC"/>
    <w:rsid w:val="00385423"/>
    <w:rsid w:val="0039184F"/>
    <w:rsid w:val="0039223F"/>
    <w:rsid w:val="00397146"/>
    <w:rsid w:val="003A00B6"/>
    <w:rsid w:val="003A43E4"/>
    <w:rsid w:val="003A7797"/>
    <w:rsid w:val="003B14CA"/>
    <w:rsid w:val="003B337A"/>
    <w:rsid w:val="003B52AF"/>
    <w:rsid w:val="003C34C8"/>
    <w:rsid w:val="003D16A7"/>
    <w:rsid w:val="003F7A11"/>
    <w:rsid w:val="0041504D"/>
    <w:rsid w:val="00416B37"/>
    <w:rsid w:val="004219ED"/>
    <w:rsid w:val="00422722"/>
    <w:rsid w:val="00424C1F"/>
    <w:rsid w:val="0043069B"/>
    <w:rsid w:val="004334BE"/>
    <w:rsid w:val="00435235"/>
    <w:rsid w:val="0044315A"/>
    <w:rsid w:val="00457084"/>
    <w:rsid w:val="004570FB"/>
    <w:rsid w:val="0047233D"/>
    <w:rsid w:val="004912C0"/>
    <w:rsid w:val="004A19A6"/>
    <w:rsid w:val="004A1A2C"/>
    <w:rsid w:val="004B7839"/>
    <w:rsid w:val="004C3506"/>
    <w:rsid w:val="004C3D4A"/>
    <w:rsid w:val="004E70E7"/>
    <w:rsid w:val="004F0799"/>
    <w:rsid w:val="004F4667"/>
    <w:rsid w:val="00515EE2"/>
    <w:rsid w:val="00521DAC"/>
    <w:rsid w:val="00527AB0"/>
    <w:rsid w:val="005469CE"/>
    <w:rsid w:val="00546DB0"/>
    <w:rsid w:val="005472D6"/>
    <w:rsid w:val="005509C7"/>
    <w:rsid w:val="005957B6"/>
    <w:rsid w:val="005A1262"/>
    <w:rsid w:val="005A3312"/>
    <w:rsid w:val="005A56C2"/>
    <w:rsid w:val="005B356B"/>
    <w:rsid w:val="005C5A0F"/>
    <w:rsid w:val="005C67F3"/>
    <w:rsid w:val="005D0822"/>
    <w:rsid w:val="005D28EC"/>
    <w:rsid w:val="005F6018"/>
    <w:rsid w:val="005F608F"/>
    <w:rsid w:val="006078EF"/>
    <w:rsid w:val="00610C1A"/>
    <w:rsid w:val="00615F7F"/>
    <w:rsid w:val="00622F99"/>
    <w:rsid w:val="00635927"/>
    <w:rsid w:val="00680967"/>
    <w:rsid w:val="00686968"/>
    <w:rsid w:val="00692A10"/>
    <w:rsid w:val="006B4056"/>
    <w:rsid w:val="006C52BC"/>
    <w:rsid w:val="006D3E4B"/>
    <w:rsid w:val="006F1961"/>
    <w:rsid w:val="006F374F"/>
    <w:rsid w:val="00702109"/>
    <w:rsid w:val="00705CD7"/>
    <w:rsid w:val="00721FB2"/>
    <w:rsid w:val="00725036"/>
    <w:rsid w:val="00726492"/>
    <w:rsid w:val="00727055"/>
    <w:rsid w:val="0074337F"/>
    <w:rsid w:val="00750793"/>
    <w:rsid w:val="007530C9"/>
    <w:rsid w:val="0077678F"/>
    <w:rsid w:val="007812FE"/>
    <w:rsid w:val="0079364B"/>
    <w:rsid w:val="007A0DCE"/>
    <w:rsid w:val="007B20EA"/>
    <w:rsid w:val="007C5004"/>
    <w:rsid w:val="007D080D"/>
    <w:rsid w:val="007E2F3E"/>
    <w:rsid w:val="007F20E3"/>
    <w:rsid w:val="007F54CF"/>
    <w:rsid w:val="00822B96"/>
    <w:rsid w:val="00824D57"/>
    <w:rsid w:val="00832748"/>
    <w:rsid w:val="0083731B"/>
    <w:rsid w:val="00852709"/>
    <w:rsid w:val="00864750"/>
    <w:rsid w:val="00865E10"/>
    <w:rsid w:val="0086676A"/>
    <w:rsid w:val="00867E36"/>
    <w:rsid w:val="00894966"/>
    <w:rsid w:val="00894E72"/>
    <w:rsid w:val="00897385"/>
    <w:rsid w:val="008978D0"/>
    <w:rsid w:val="008A2C23"/>
    <w:rsid w:val="008A5314"/>
    <w:rsid w:val="008A637E"/>
    <w:rsid w:val="008B12FC"/>
    <w:rsid w:val="008B7973"/>
    <w:rsid w:val="008C12C9"/>
    <w:rsid w:val="008C6D72"/>
    <w:rsid w:val="008C712E"/>
    <w:rsid w:val="008D6740"/>
    <w:rsid w:val="008E01F9"/>
    <w:rsid w:val="008E1AC8"/>
    <w:rsid w:val="008E313B"/>
    <w:rsid w:val="008E7152"/>
    <w:rsid w:val="008E750B"/>
    <w:rsid w:val="008F7B31"/>
    <w:rsid w:val="00902067"/>
    <w:rsid w:val="00906DD2"/>
    <w:rsid w:val="00910DE1"/>
    <w:rsid w:val="00913930"/>
    <w:rsid w:val="00921CB7"/>
    <w:rsid w:val="0092532E"/>
    <w:rsid w:val="009276B7"/>
    <w:rsid w:val="00931706"/>
    <w:rsid w:val="009346DB"/>
    <w:rsid w:val="00950F32"/>
    <w:rsid w:val="00965D60"/>
    <w:rsid w:val="0097644F"/>
    <w:rsid w:val="009765A5"/>
    <w:rsid w:val="00982531"/>
    <w:rsid w:val="00996D67"/>
    <w:rsid w:val="009A4620"/>
    <w:rsid w:val="009C10B1"/>
    <w:rsid w:val="009E14A6"/>
    <w:rsid w:val="009F3BF9"/>
    <w:rsid w:val="00A0078C"/>
    <w:rsid w:val="00A044BB"/>
    <w:rsid w:val="00A05030"/>
    <w:rsid w:val="00A15D3F"/>
    <w:rsid w:val="00A211E1"/>
    <w:rsid w:val="00A24E8D"/>
    <w:rsid w:val="00A44914"/>
    <w:rsid w:val="00A47AF0"/>
    <w:rsid w:val="00A674F3"/>
    <w:rsid w:val="00A73B42"/>
    <w:rsid w:val="00A859E2"/>
    <w:rsid w:val="00A91096"/>
    <w:rsid w:val="00A9326B"/>
    <w:rsid w:val="00AA2824"/>
    <w:rsid w:val="00AA5850"/>
    <w:rsid w:val="00AA740F"/>
    <w:rsid w:val="00AA7C96"/>
    <w:rsid w:val="00AC35B1"/>
    <w:rsid w:val="00AC3BE1"/>
    <w:rsid w:val="00AC4D7D"/>
    <w:rsid w:val="00AC51AB"/>
    <w:rsid w:val="00AC6294"/>
    <w:rsid w:val="00AD3494"/>
    <w:rsid w:val="00AE0487"/>
    <w:rsid w:val="00AF6171"/>
    <w:rsid w:val="00AF63BB"/>
    <w:rsid w:val="00AF677E"/>
    <w:rsid w:val="00B03364"/>
    <w:rsid w:val="00B1072B"/>
    <w:rsid w:val="00B21E72"/>
    <w:rsid w:val="00B22A9B"/>
    <w:rsid w:val="00B309CA"/>
    <w:rsid w:val="00B3193D"/>
    <w:rsid w:val="00B42DB1"/>
    <w:rsid w:val="00B47FB4"/>
    <w:rsid w:val="00B63123"/>
    <w:rsid w:val="00B714C2"/>
    <w:rsid w:val="00B86D2C"/>
    <w:rsid w:val="00B902F4"/>
    <w:rsid w:val="00B94D94"/>
    <w:rsid w:val="00BA074D"/>
    <w:rsid w:val="00BB4272"/>
    <w:rsid w:val="00BB718C"/>
    <w:rsid w:val="00BD0A27"/>
    <w:rsid w:val="00BD2F6C"/>
    <w:rsid w:val="00BD3D67"/>
    <w:rsid w:val="00BD6B97"/>
    <w:rsid w:val="00BF6618"/>
    <w:rsid w:val="00BF74E6"/>
    <w:rsid w:val="00C0112F"/>
    <w:rsid w:val="00C011A6"/>
    <w:rsid w:val="00C06E93"/>
    <w:rsid w:val="00C111A3"/>
    <w:rsid w:val="00C11C90"/>
    <w:rsid w:val="00C20D9E"/>
    <w:rsid w:val="00C21F14"/>
    <w:rsid w:val="00C277D2"/>
    <w:rsid w:val="00C341FB"/>
    <w:rsid w:val="00C56645"/>
    <w:rsid w:val="00C62573"/>
    <w:rsid w:val="00C639F8"/>
    <w:rsid w:val="00C67A8C"/>
    <w:rsid w:val="00C67B87"/>
    <w:rsid w:val="00C73229"/>
    <w:rsid w:val="00C80828"/>
    <w:rsid w:val="00C94F1C"/>
    <w:rsid w:val="00CA206C"/>
    <w:rsid w:val="00CA703F"/>
    <w:rsid w:val="00CB302F"/>
    <w:rsid w:val="00CB5037"/>
    <w:rsid w:val="00CB72AF"/>
    <w:rsid w:val="00CC0974"/>
    <w:rsid w:val="00CC0F02"/>
    <w:rsid w:val="00CD4BD8"/>
    <w:rsid w:val="00CD57CB"/>
    <w:rsid w:val="00CD75C7"/>
    <w:rsid w:val="00CE24FD"/>
    <w:rsid w:val="00CE677D"/>
    <w:rsid w:val="00CF15D8"/>
    <w:rsid w:val="00CF351E"/>
    <w:rsid w:val="00CF4B09"/>
    <w:rsid w:val="00CF7D9F"/>
    <w:rsid w:val="00D00541"/>
    <w:rsid w:val="00D05E19"/>
    <w:rsid w:val="00D12177"/>
    <w:rsid w:val="00D16E3D"/>
    <w:rsid w:val="00D17EA1"/>
    <w:rsid w:val="00D31394"/>
    <w:rsid w:val="00D45152"/>
    <w:rsid w:val="00D67CEC"/>
    <w:rsid w:val="00D77E35"/>
    <w:rsid w:val="00D8451F"/>
    <w:rsid w:val="00D90CAE"/>
    <w:rsid w:val="00DC28A4"/>
    <w:rsid w:val="00DE2225"/>
    <w:rsid w:val="00DE3409"/>
    <w:rsid w:val="00DF73D9"/>
    <w:rsid w:val="00E05C0E"/>
    <w:rsid w:val="00E164F5"/>
    <w:rsid w:val="00E45727"/>
    <w:rsid w:val="00E47374"/>
    <w:rsid w:val="00E50261"/>
    <w:rsid w:val="00E57CDF"/>
    <w:rsid w:val="00E738E7"/>
    <w:rsid w:val="00E759D9"/>
    <w:rsid w:val="00E760D7"/>
    <w:rsid w:val="00E76747"/>
    <w:rsid w:val="00EB0A76"/>
    <w:rsid w:val="00EB55B3"/>
    <w:rsid w:val="00EB73FC"/>
    <w:rsid w:val="00EC4A4A"/>
    <w:rsid w:val="00ED1F66"/>
    <w:rsid w:val="00EE5D88"/>
    <w:rsid w:val="00F4169D"/>
    <w:rsid w:val="00F54D5C"/>
    <w:rsid w:val="00F56AFE"/>
    <w:rsid w:val="00F62915"/>
    <w:rsid w:val="00F76991"/>
    <w:rsid w:val="00F8515B"/>
    <w:rsid w:val="00F859A6"/>
    <w:rsid w:val="00F93C99"/>
    <w:rsid w:val="00FA16B6"/>
    <w:rsid w:val="00FA56D1"/>
    <w:rsid w:val="00FA67B7"/>
    <w:rsid w:val="00FB7F4A"/>
    <w:rsid w:val="00FC18BB"/>
    <w:rsid w:val="00FC3B12"/>
    <w:rsid w:val="00FC4A14"/>
    <w:rsid w:val="00FE3812"/>
    <w:rsid w:val="00FF779C"/>
    <w:rsid w:val="02174E83"/>
    <w:rsid w:val="02D06F2C"/>
    <w:rsid w:val="03493372"/>
    <w:rsid w:val="046A6CCD"/>
    <w:rsid w:val="05AB4054"/>
    <w:rsid w:val="06362C39"/>
    <w:rsid w:val="0AA905AD"/>
    <w:rsid w:val="0AB1291A"/>
    <w:rsid w:val="0BEF1049"/>
    <w:rsid w:val="0CE57873"/>
    <w:rsid w:val="0ECC7F3A"/>
    <w:rsid w:val="16FD2C8F"/>
    <w:rsid w:val="1A2D3DCC"/>
    <w:rsid w:val="1A5F1556"/>
    <w:rsid w:val="1AE37DAC"/>
    <w:rsid w:val="1B99471D"/>
    <w:rsid w:val="1BBB34FB"/>
    <w:rsid w:val="20594449"/>
    <w:rsid w:val="21827C04"/>
    <w:rsid w:val="27B21652"/>
    <w:rsid w:val="28B75D6A"/>
    <w:rsid w:val="2A7958A6"/>
    <w:rsid w:val="2C7D7664"/>
    <w:rsid w:val="310A249E"/>
    <w:rsid w:val="330E262C"/>
    <w:rsid w:val="352246B9"/>
    <w:rsid w:val="35626DBC"/>
    <w:rsid w:val="36B6594F"/>
    <w:rsid w:val="38572225"/>
    <w:rsid w:val="397945D8"/>
    <w:rsid w:val="43830144"/>
    <w:rsid w:val="43B171E7"/>
    <w:rsid w:val="44183417"/>
    <w:rsid w:val="45F51A74"/>
    <w:rsid w:val="471F2685"/>
    <w:rsid w:val="47D33052"/>
    <w:rsid w:val="485211B4"/>
    <w:rsid w:val="498B21B5"/>
    <w:rsid w:val="4DF94216"/>
    <w:rsid w:val="50465DC1"/>
    <w:rsid w:val="52947CCE"/>
    <w:rsid w:val="53B931EA"/>
    <w:rsid w:val="569A3723"/>
    <w:rsid w:val="5BE4116B"/>
    <w:rsid w:val="5D0F3181"/>
    <w:rsid w:val="5F5B0783"/>
    <w:rsid w:val="60293B94"/>
    <w:rsid w:val="66001F65"/>
    <w:rsid w:val="66B305DB"/>
    <w:rsid w:val="771E7080"/>
    <w:rsid w:val="77783129"/>
    <w:rsid w:val="785C0A45"/>
    <w:rsid w:val="78C529B7"/>
    <w:rsid w:val="7B016CDB"/>
    <w:rsid w:val="7CCA1B4A"/>
    <w:rsid w:val="7DE6101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lang w:val="en-US" w:eastAsia="zh-CN" w:bidi="ar-SA"/>
    </w:rPr>
  </w:style>
  <w:style w:type="paragraph" w:styleId="3">
    <w:name w:val="heading 1"/>
    <w:basedOn w:val="1"/>
    <w:next w:val="1"/>
    <w:qFormat/>
    <w:uiPriority w:val="0"/>
    <w:pPr>
      <w:keepNext/>
      <w:keepLines/>
      <w:widowControl/>
      <w:adjustRightInd w:val="0"/>
      <w:spacing w:line="580" w:lineRule="atLeast"/>
      <w:jc w:val="center"/>
      <w:textAlignment w:val="baseline"/>
      <w:outlineLvl w:val="0"/>
    </w:pPr>
    <w:rPr>
      <w:rFonts w:eastAsia="华康简标题宋"/>
      <w:kern w:val="44"/>
      <w:sz w:val="36"/>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仿宋_GB2312" w:eastAsia="仿宋_GB2312"/>
      <w:sz w:val="31"/>
    </w:rPr>
  </w:style>
  <w:style w:type="paragraph" w:styleId="4">
    <w:name w:val="Normal Indent"/>
    <w:basedOn w:val="1"/>
    <w:qFormat/>
    <w:uiPriority w:val="0"/>
    <w:pPr>
      <w:ind w:firstLine="420"/>
    </w:pPr>
    <w:rPr>
      <w:rFonts w:eastAsia="仿宋_GB2312"/>
      <w:sz w:val="32"/>
    </w:rPr>
  </w:style>
  <w:style w:type="paragraph" w:styleId="5">
    <w:name w:val="Body Text 3"/>
    <w:basedOn w:val="1"/>
    <w:qFormat/>
    <w:uiPriority w:val="0"/>
    <w:pPr>
      <w:spacing w:line="600" w:lineRule="exact"/>
    </w:pPr>
    <w:rPr>
      <w:rFonts w:eastAsia="华康简标题宋"/>
      <w:sz w:val="40"/>
    </w:rPr>
  </w:style>
  <w:style w:type="paragraph" w:styleId="6">
    <w:name w:val="Closing"/>
    <w:basedOn w:val="1"/>
    <w:link w:val="30"/>
    <w:qFormat/>
    <w:uiPriority w:val="0"/>
    <w:pPr>
      <w:ind w:left="100" w:leftChars="2100"/>
    </w:pPr>
    <w:rPr>
      <w:rFonts w:cs="Times New Roman"/>
      <w:szCs w:val="22"/>
    </w:rPr>
  </w:style>
  <w:style w:type="paragraph" w:styleId="7">
    <w:name w:val="Body Text Indent"/>
    <w:basedOn w:val="1"/>
    <w:qFormat/>
    <w:uiPriority w:val="0"/>
    <w:pPr>
      <w:spacing w:line="620" w:lineRule="exact"/>
      <w:ind w:firstLine="620" w:firstLineChars="200"/>
    </w:pPr>
    <w:rPr>
      <w:rFonts w:eastAsia="仿宋_GB2312"/>
      <w:sz w:val="31"/>
    </w:rPr>
  </w:style>
  <w:style w:type="paragraph" w:styleId="8">
    <w:name w:val="Date"/>
    <w:basedOn w:val="1"/>
    <w:next w:val="1"/>
    <w:qFormat/>
    <w:uiPriority w:val="0"/>
    <w:rPr>
      <w:rFonts w:eastAsia="仿宋_GB2312"/>
      <w:sz w:val="31"/>
    </w:rPr>
  </w:style>
  <w:style w:type="paragraph" w:styleId="9">
    <w:name w:val="Body Text Indent 2"/>
    <w:basedOn w:val="1"/>
    <w:qFormat/>
    <w:uiPriority w:val="0"/>
    <w:pPr>
      <w:spacing w:line="600" w:lineRule="exact"/>
      <w:ind w:firstLine="420" w:firstLineChars="200"/>
    </w:pPr>
    <w:rPr>
      <w:rFonts w:eastAsia="仿宋_GB2312"/>
      <w:sz w:val="3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tabs>
        <w:tab w:val="center" w:pos="4153"/>
        <w:tab w:val="right" w:pos="8306"/>
      </w:tabs>
      <w:snapToGrid w:val="0"/>
      <w:jc w:val="center"/>
    </w:pPr>
    <w:rPr>
      <w:sz w:val="18"/>
    </w:rPr>
  </w:style>
  <w:style w:type="paragraph" w:styleId="12">
    <w:name w:val="Body Text Indent 3"/>
    <w:basedOn w:val="1"/>
    <w:qFormat/>
    <w:uiPriority w:val="0"/>
    <w:pPr>
      <w:spacing w:line="620" w:lineRule="exact"/>
      <w:ind w:firstLine="630"/>
    </w:pPr>
    <w:rPr>
      <w:rFonts w:eastAsia="黑体"/>
      <w:sz w:val="31"/>
      <w:szCs w:val="24"/>
    </w:rPr>
  </w:style>
  <w:style w:type="paragraph" w:styleId="13">
    <w:name w:val="Body Text 2"/>
    <w:basedOn w:val="1"/>
    <w:qFormat/>
    <w:uiPriority w:val="0"/>
    <w:pPr>
      <w:spacing w:line="500" w:lineRule="exact"/>
      <w:jc w:val="center"/>
    </w:pPr>
    <w:rPr>
      <w:rFonts w:eastAsia="华康简标题宋"/>
      <w:sz w:val="4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link w:val="29"/>
    <w:qFormat/>
    <w:uiPriority w:val="0"/>
    <w:pPr>
      <w:spacing w:before="240" w:after="60"/>
      <w:jc w:val="center"/>
      <w:outlineLvl w:val="0"/>
    </w:pPr>
    <w:rPr>
      <w:rFonts w:ascii="Times New Roman" w:hAnsi="Times New Roman" w:eastAsia="华康简标题宋" w:cs="Times New Roman"/>
      <w:bCs/>
      <w:sz w:val="44"/>
      <w:szCs w:val="32"/>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FollowedHyperlink"/>
    <w:basedOn w:val="18"/>
    <w:qFormat/>
    <w:uiPriority w:val="0"/>
    <w:rPr>
      <w:color w:val="800080"/>
      <w:u w:val="single"/>
    </w:rPr>
  </w:style>
  <w:style w:type="character" w:styleId="22">
    <w:name w:val="Hyperlink"/>
    <w:qFormat/>
    <w:uiPriority w:val="0"/>
    <w:rPr>
      <w:color w:val="0000FF"/>
      <w:u w:val="single"/>
    </w:rPr>
  </w:style>
  <w:style w:type="paragraph" w:customStyle="1" w:styleId="23">
    <w:name w:val="Char Char Char Char Char Char Char"/>
    <w:basedOn w:val="1"/>
    <w:qFormat/>
    <w:uiPriority w:val="0"/>
    <w:pPr>
      <w:widowControl/>
      <w:jc w:val="left"/>
    </w:pPr>
    <w:rPr>
      <w:szCs w:val="24"/>
    </w:rPr>
  </w:style>
  <w:style w:type="paragraph" w:customStyle="1" w:styleId="24">
    <w:name w:val="p0"/>
    <w:basedOn w:val="1"/>
    <w:qFormat/>
    <w:uiPriority w:val="0"/>
    <w:pPr>
      <w:widowControl/>
    </w:pPr>
    <w:rPr>
      <w:kern w:val="0"/>
      <w:szCs w:val="21"/>
    </w:rPr>
  </w:style>
  <w:style w:type="paragraph" w:customStyle="1" w:styleId="25">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6">
    <w:name w:val="Char Char Char Char Char Char Char1"/>
    <w:basedOn w:val="1"/>
    <w:qFormat/>
    <w:uiPriority w:val="0"/>
    <w:pPr>
      <w:widowControl/>
      <w:jc w:val="left"/>
    </w:pPr>
    <w:rPr>
      <w:szCs w:val="24"/>
    </w:rPr>
  </w:style>
  <w:style w:type="paragraph" w:customStyle="1" w:styleId="27">
    <w:name w:val="正文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28">
    <w:name w:val="公文正文"/>
    <w:basedOn w:val="1"/>
    <w:qFormat/>
    <w:uiPriority w:val="99"/>
    <w:pPr>
      <w:ind w:firstLine="200" w:firstLineChars="200"/>
      <w:jc w:val="left"/>
    </w:pPr>
    <w:rPr>
      <w:rFonts w:ascii="Times New Roman" w:hAnsi="Times New Roman" w:eastAsia="仿宋_GB2312" w:cs="Times New Roman"/>
      <w:kern w:val="0"/>
      <w:sz w:val="32"/>
      <w:szCs w:val="32"/>
    </w:rPr>
  </w:style>
  <w:style w:type="character" w:customStyle="1" w:styleId="29">
    <w:name w:val="标题 Char"/>
    <w:link w:val="15"/>
    <w:qFormat/>
    <w:uiPriority w:val="0"/>
    <w:rPr>
      <w:rFonts w:eastAsia="华康简标题宋" w:cs="Arial"/>
      <w:bCs/>
      <w:kern w:val="2"/>
      <w:sz w:val="44"/>
      <w:szCs w:val="32"/>
    </w:rPr>
  </w:style>
  <w:style w:type="character" w:customStyle="1" w:styleId="30">
    <w:name w:val="结束语 Char"/>
    <w:link w:val="6"/>
    <w:qFormat/>
    <w:locked/>
    <w:uiPriority w:val="0"/>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19996;&#22806;&#20419;&#209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东外促函.dot</Template>
  <Company>Chinese ORG</Company>
  <Pages>27</Pages>
  <Words>8890</Words>
  <Characters>9071</Characters>
  <Lines>38</Lines>
  <Paragraphs>10</Paragraphs>
  <TotalTime>112</TotalTime>
  <ScaleCrop>false</ScaleCrop>
  <LinksUpToDate>false</LinksUpToDate>
  <CharactersWithSpaces>9194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2021-03-15T07:55:00Z</dcterms:created>
  <dc:creator>啾啾是小刘</dc:creator>
  <cp:lastModifiedBy>Administrator</cp:lastModifiedBy>
  <cp:lastPrinted>2022-05-12T01:24:00Z</cp:lastPrinted>
  <dcterms:modified xsi:type="dcterms:W3CDTF">2022-05-12T03:01:25Z</dcterms:modified>
  <dc:title>东莞市人民政府口岸办公室</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